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A4" w:rsidRDefault="006D76A4" w:rsidP="006D76A4">
      <w:pPr>
        <w:suppressAutoHyphens w:val="0"/>
        <w:jc w:val="center"/>
        <w:rPr>
          <w:rFonts w:ascii="Arial" w:eastAsia="Times New Roman" w:hAnsi="Arial" w:cs="Arial"/>
          <w:b/>
          <w:sz w:val="180"/>
          <w:szCs w:val="56"/>
          <w:lang w:eastAsia="en-GB"/>
        </w:rPr>
      </w:pPr>
    </w:p>
    <w:p w:rsidR="006D76A4" w:rsidRDefault="006D76A4" w:rsidP="006D76A4">
      <w:pPr>
        <w:suppressAutoHyphens w:val="0"/>
        <w:jc w:val="center"/>
        <w:rPr>
          <w:rFonts w:ascii="Arial" w:eastAsia="Times New Roman" w:hAnsi="Arial" w:cs="Arial"/>
          <w:b/>
          <w:sz w:val="180"/>
          <w:szCs w:val="56"/>
          <w:lang w:eastAsia="en-GB"/>
        </w:rPr>
      </w:pPr>
    </w:p>
    <w:p w:rsidR="006D76A4" w:rsidRDefault="006D76A4" w:rsidP="006D76A4">
      <w:pPr>
        <w:suppressAutoHyphens w:val="0"/>
        <w:jc w:val="center"/>
        <w:rPr>
          <w:rFonts w:ascii="Arial" w:eastAsia="Times New Roman" w:hAnsi="Arial" w:cs="Arial"/>
          <w:b/>
          <w:sz w:val="180"/>
          <w:szCs w:val="56"/>
          <w:lang w:eastAsia="en-GB"/>
        </w:rPr>
      </w:pPr>
      <w:bookmarkStart w:id="0" w:name="_GoBack"/>
      <w:bookmarkEnd w:id="0"/>
      <w:r w:rsidRPr="006D76A4">
        <w:rPr>
          <w:rFonts w:ascii="Arial" w:eastAsia="Times New Roman" w:hAnsi="Arial" w:cs="Arial"/>
          <w:b/>
          <w:sz w:val="180"/>
          <w:szCs w:val="56"/>
          <w:lang w:eastAsia="en-GB"/>
        </w:rPr>
        <w:t xml:space="preserve">Street Trading </w:t>
      </w:r>
    </w:p>
    <w:p w:rsidR="006D76A4" w:rsidRDefault="006D76A4" w:rsidP="006D76A4">
      <w:pPr>
        <w:suppressAutoHyphens w:val="0"/>
        <w:jc w:val="center"/>
        <w:rPr>
          <w:rFonts w:ascii="Arial" w:eastAsia="Times New Roman" w:hAnsi="Arial" w:cs="Arial"/>
          <w:b/>
          <w:sz w:val="180"/>
          <w:szCs w:val="56"/>
          <w:lang w:eastAsia="en-GB"/>
        </w:rPr>
      </w:pPr>
      <w:r w:rsidRPr="006D76A4">
        <w:rPr>
          <w:rFonts w:ascii="Arial" w:eastAsia="Times New Roman" w:hAnsi="Arial" w:cs="Arial"/>
          <w:b/>
          <w:sz w:val="180"/>
          <w:szCs w:val="56"/>
          <w:lang w:eastAsia="en-GB"/>
        </w:rPr>
        <w:t xml:space="preserve">V </w:t>
      </w:r>
    </w:p>
    <w:p w:rsidR="006D76A4" w:rsidRPr="006D76A4" w:rsidRDefault="006D76A4" w:rsidP="006D76A4">
      <w:pPr>
        <w:suppressAutoHyphens w:val="0"/>
        <w:jc w:val="center"/>
        <w:rPr>
          <w:rFonts w:ascii="Verdana" w:eastAsia="SimSun, 宋体" w:hAnsi="Verdana" w:cs="Tahoma"/>
          <w:b/>
          <w:bCs/>
          <w:sz w:val="180"/>
          <w:szCs w:val="56"/>
        </w:rPr>
      </w:pPr>
      <w:r w:rsidRPr="006D76A4">
        <w:rPr>
          <w:rFonts w:ascii="Arial" w:eastAsia="Times New Roman" w:hAnsi="Arial" w:cs="Arial"/>
          <w:b/>
          <w:sz w:val="180"/>
          <w:szCs w:val="56"/>
          <w:lang w:eastAsia="en-GB"/>
        </w:rPr>
        <w:t>Food Act</w:t>
      </w:r>
    </w:p>
    <w:p w:rsidR="00B11FA5" w:rsidRDefault="00B11FA5">
      <w:pPr>
        <w:pStyle w:val="Standard"/>
        <w:ind w:left="30"/>
        <w:jc w:val="center"/>
        <w:rPr>
          <w:rFonts w:ascii="Verdana" w:hAnsi="Verdana" w:cs="Tahoma"/>
          <w:b/>
          <w:bCs/>
        </w:rPr>
      </w:pPr>
    </w:p>
    <w:p w:rsidR="006D76A4" w:rsidRDefault="006D76A4">
      <w:pPr>
        <w:pStyle w:val="Standard"/>
        <w:ind w:left="30"/>
        <w:jc w:val="center"/>
        <w:rPr>
          <w:rFonts w:ascii="Verdana" w:hAnsi="Verdana" w:cs="Tahoma"/>
          <w:b/>
          <w:bCs/>
        </w:rPr>
      </w:pPr>
    </w:p>
    <w:p w:rsidR="006D76A4" w:rsidRDefault="006D76A4">
      <w:pPr>
        <w:suppressAutoHyphens w:val="0"/>
        <w:rPr>
          <w:rFonts w:ascii="Verdana" w:eastAsia="SimSun, 宋体" w:hAnsi="Verdana" w:cs="Tahoma"/>
          <w:b/>
          <w:bCs/>
        </w:rPr>
      </w:pPr>
      <w:r>
        <w:rPr>
          <w:rFonts w:ascii="Verdana" w:hAnsi="Verdana" w:cs="Tahoma"/>
          <w:b/>
          <w:bCs/>
        </w:rPr>
        <w:br w:type="page"/>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THE BENEFITS AND BURDENS OF USING PART 111 OF THE FOOD ACT 1984</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 xml:space="preserve">There are many different way of acquiring market powers. Many Markets are currently operated under Royal Charter or </w:t>
      </w:r>
      <w:r>
        <w:rPr>
          <w:rFonts w:ascii="Verdana" w:hAnsi="Verdana" w:cs="Tahoma"/>
        </w:rPr>
        <w:t>Letters Patent. Others operate by way of Lost Modern Grant, Prescription or Custom and Practice. One of the great attractions of market law is the history of the subject, with some market powers going back fifteen hundred years, and the idiosyncrasies of t</w:t>
      </w:r>
      <w:r>
        <w:rPr>
          <w:rFonts w:ascii="Verdana" w:hAnsi="Verdana" w:cs="Tahoma"/>
        </w:rPr>
        <w:t>he subject matter which have never been fully appreciated by the judiciary.</w:t>
      </w:r>
      <w:r>
        <w:rPr>
          <w:rFonts w:ascii="Verdana" w:hAnsi="Verdana" w:cs="Tahoma"/>
        </w:rPr>
        <w:br/>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The current general legal framework for the creation and operation of Markets is found in Part 111 of the Food Act 1984 and the powers are available, inter alia, to London Boroug</w:t>
      </w:r>
      <w:r>
        <w:rPr>
          <w:rFonts w:ascii="Verdana" w:hAnsi="Verdana" w:cs="Tahoma"/>
        </w:rPr>
        <w:t>hs (Section 61 under definition of local authority).</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Part 111 provides a comprehensive set of powers to deal with all the important aspects of operating a market including:</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Section 50 Establishment or acquisition of a Market</w:t>
      </w:r>
    </w:p>
    <w:p w:rsidR="00B11FA5" w:rsidRDefault="006D76A4">
      <w:pPr>
        <w:pStyle w:val="Standard"/>
        <w:rPr>
          <w:rFonts w:ascii="Verdana" w:hAnsi="Verdana" w:cs="Tahoma"/>
        </w:rPr>
      </w:pPr>
      <w:r>
        <w:rPr>
          <w:rFonts w:ascii="Verdana" w:hAnsi="Verdana" w:cs="Tahoma"/>
        </w:rPr>
        <w:t>Section 52 Appointment of Mar</w:t>
      </w:r>
      <w:r>
        <w:rPr>
          <w:rFonts w:ascii="Verdana" w:hAnsi="Verdana" w:cs="Tahoma"/>
        </w:rPr>
        <w:t>ket Days and Hours</w:t>
      </w:r>
    </w:p>
    <w:p w:rsidR="00B11FA5" w:rsidRDefault="006D76A4">
      <w:pPr>
        <w:pStyle w:val="Standard"/>
        <w:rPr>
          <w:rFonts w:ascii="Verdana" w:hAnsi="Verdana" w:cs="Tahoma"/>
        </w:rPr>
      </w:pPr>
      <w:r>
        <w:rPr>
          <w:rFonts w:ascii="Verdana" w:hAnsi="Verdana" w:cs="Tahoma"/>
        </w:rPr>
        <w:t>Section 53 Determination of Charges</w:t>
      </w:r>
    </w:p>
    <w:p w:rsidR="00B11FA5" w:rsidRDefault="006D76A4">
      <w:pPr>
        <w:pStyle w:val="Standard"/>
        <w:rPr>
          <w:rFonts w:ascii="Verdana" w:hAnsi="Verdana" w:cs="Tahoma"/>
        </w:rPr>
      </w:pPr>
      <w:r>
        <w:rPr>
          <w:rFonts w:ascii="Verdana" w:hAnsi="Verdana" w:cs="Tahoma"/>
        </w:rPr>
        <w:t xml:space="preserve">Section 60 </w:t>
      </w:r>
      <w:proofErr w:type="gramStart"/>
      <w:r>
        <w:rPr>
          <w:rFonts w:ascii="Verdana" w:hAnsi="Verdana" w:cs="Tahoma"/>
        </w:rPr>
        <w:t>The</w:t>
      </w:r>
      <w:proofErr w:type="gramEnd"/>
      <w:r>
        <w:rPr>
          <w:rFonts w:ascii="Verdana" w:hAnsi="Verdana" w:cs="Tahoma"/>
        </w:rPr>
        <w:t xml:space="preserve"> introduction of Market Byelaws</w:t>
      </w:r>
    </w:p>
    <w:p w:rsidR="00B11FA5" w:rsidRDefault="00B11FA5">
      <w:pPr>
        <w:pStyle w:val="Standard"/>
        <w:rPr>
          <w:rFonts w:ascii="Verdana" w:hAnsi="Verdana" w:cs="Tahoma"/>
        </w:rPr>
      </w:pPr>
    </w:p>
    <w:p w:rsidR="00B11FA5" w:rsidRDefault="006D76A4">
      <w:pPr>
        <w:pStyle w:val="Standard"/>
      </w:pPr>
      <w:r>
        <w:rPr>
          <w:rFonts w:ascii="Verdana" w:hAnsi="Verdana" w:cs="Tahoma"/>
        </w:rPr>
        <w:t>In addition to the statutory provisions contained in Part 111 Southwark can also avail themselves of the common law rights to control and license other Ma</w:t>
      </w:r>
      <w:r>
        <w:rPr>
          <w:rFonts w:ascii="Verdana" w:hAnsi="Verdana" w:cs="Tahoma"/>
        </w:rPr>
        <w:t>rkets which have often been referred as the “crown jewels” of market rights.</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It is appropriate, at this stage, to comment on the position in respect of market rights arising from the various market powers I have highlighted and see the respective merits o</w:t>
      </w:r>
      <w:r>
        <w:rPr>
          <w:rFonts w:ascii="Verdana" w:hAnsi="Verdana" w:cs="Tahoma"/>
        </w:rPr>
        <w:t>f these powers.</w:t>
      </w:r>
    </w:p>
    <w:p w:rsidR="00B11FA5" w:rsidRDefault="00B11FA5">
      <w:pPr>
        <w:pStyle w:val="Standard"/>
        <w:rPr>
          <w:rFonts w:ascii="Verdana" w:hAnsi="Verdana" w:cs="Tahoma"/>
        </w:rPr>
      </w:pPr>
    </w:p>
    <w:p w:rsidR="00B11FA5" w:rsidRDefault="006D76A4">
      <w:pPr>
        <w:pStyle w:val="Standard"/>
      </w:pPr>
      <w:r>
        <w:rPr>
          <w:rFonts w:ascii="Verdana" w:hAnsi="Verdana" w:cs="Tahoma"/>
        </w:rPr>
        <w:t>In East Lindsey District Council v Hamilton (1984) The Times 2</w:t>
      </w:r>
      <w:r>
        <w:rPr>
          <w:rFonts w:ascii="Verdana" w:hAnsi="Verdana" w:cs="Tahoma"/>
          <w:vertAlign w:val="superscript"/>
        </w:rPr>
        <w:t>nd</w:t>
      </w:r>
      <w:r>
        <w:rPr>
          <w:rFonts w:ascii="Verdana" w:hAnsi="Verdana" w:cs="Tahoma"/>
        </w:rPr>
        <w:t xml:space="preserve"> April 1984 it was accepted by the Court of Appeal that a Market created under legislation enjoys all the same benefits as a Market created under Charter unless there is some </w:t>
      </w:r>
      <w:r>
        <w:rPr>
          <w:rFonts w:ascii="Verdana" w:hAnsi="Verdana" w:cs="Tahoma"/>
        </w:rPr>
        <w:t>specific provision within the legislation to the contrary. The earlier case of Wakefield City Council v Box (1982) 3 All ER 506, which I was personally involved with, also came to the same conclusion</w:t>
      </w:r>
    </w:p>
    <w:p w:rsidR="00B11FA5" w:rsidRDefault="00B11FA5">
      <w:pPr>
        <w:pStyle w:val="Standard"/>
        <w:rPr>
          <w:rFonts w:ascii="Verdana" w:hAnsi="Verdana"/>
        </w:rPr>
      </w:pPr>
    </w:p>
    <w:p w:rsidR="00B11FA5" w:rsidRDefault="006D76A4">
      <w:pPr>
        <w:pStyle w:val="Standard"/>
      </w:pPr>
      <w:r>
        <w:rPr>
          <w:rFonts w:ascii="Verdana" w:hAnsi="Verdana" w:cs="Tahoma"/>
        </w:rPr>
        <w:t xml:space="preserve">In terms of any limitation applying from the use of </w:t>
      </w:r>
      <w:r>
        <w:rPr>
          <w:rFonts w:ascii="Verdana" w:hAnsi="Verdana" w:cs="Tahoma"/>
        </w:rPr>
        <w:t>Part 111 it is necessary to have regard to the provisions of Section 50 and Sub Sections (2) and (3):</w:t>
      </w:r>
    </w:p>
    <w:p w:rsidR="00B11FA5" w:rsidRDefault="00B11FA5">
      <w:pPr>
        <w:pStyle w:val="Standard"/>
        <w:rPr>
          <w:rFonts w:ascii="Verdana" w:hAnsi="Verdana"/>
        </w:rPr>
      </w:pPr>
    </w:p>
    <w:p w:rsidR="00B11FA5" w:rsidRDefault="006D76A4">
      <w:pPr>
        <w:pStyle w:val="Standard"/>
      </w:pPr>
      <w:r>
        <w:rPr>
          <w:rFonts w:ascii="Verdana" w:hAnsi="Verdana" w:cs="Tahoma"/>
        </w:rPr>
        <w:t>Sub-Section 2 A Market shall not be established in pursuance of (Section 50) so as to interfere with any rights, powers or privileges enjoyed within (the</w:t>
      </w:r>
      <w:r>
        <w:rPr>
          <w:rFonts w:ascii="Verdana" w:hAnsi="Verdana" w:cs="Tahoma"/>
        </w:rPr>
        <w:t xml:space="preserve"> authority's area) in respect of any market by any person, without that person's consent</w:t>
      </w:r>
    </w:p>
    <w:p w:rsidR="00B11FA5" w:rsidRDefault="00B11FA5">
      <w:pPr>
        <w:pStyle w:val="Standard"/>
        <w:rPr>
          <w:rFonts w:ascii="Verdana" w:hAnsi="Verdana"/>
        </w:rPr>
      </w:pPr>
    </w:p>
    <w:p w:rsidR="00B11FA5" w:rsidRDefault="006D76A4">
      <w:pPr>
        <w:pStyle w:val="Standard"/>
      </w:pPr>
      <w:r>
        <w:rPr>
          <w:rFonts w:ascii="Verdana" w:hAnsi="Verdana" w:cs="Tahoma"/>
        </w:rPr>
        <w:t xml:space="preserve">Sub-Section 3 For the purposes of Sub-Section 2, a local authority shall not be regarded as enjoying any rights, powers or privileges within another local </w:t>
      </w:r>
      <w:r>
        <w:rPr>
          <w:rFonts w:ascii="Verdana" w:hAnsi="Verdana" w:cs="Tahoma"/>
        </w:rPr>
        <w:lastRenderedPageBreak/>
        <w:t>authority's</w:t>
      </w:r>
      <w:r>
        <w:rPr>
          <w:rFonts w:ascii="Verdana" w:hAnsi="Verdana" w:cs="Tahoma"/>
        </w:rPr>
        <w:t xml:space="preserve"> area by reason only of the fact that they maintain within their own area a Market which has been established under paragraph (a) of Sub -Section 1 (of Section 50) or under the corresponding provision of any earlier enactment.</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 xml:space="preserve">I will return in due course </w:t>
      </w:r>
      <w:r>
        <w:rPr>
          <w:rFonts w:ascii="Verdana" w:hAnsi="Verdana" w:cs="Tahoma"/>
        </w:rPr>
        <w:t xml:space="preserve">to the nature of the market rights, and these limitations, and how they can be used in an effective way but before addressing these issues I want to consider the consequences of using Part 111 of the Food Act and what might be regarded as the “burdens” of </w:t>
      </w:r>
      <w:r>
        <w:rPr>
          <w:rFonts w:ascii="Verdana" w:hAnsi="Verdana" w:cs="Tahoma"/>
        </w:rPr>
        <w:t>such use.</w:t>
      </w:r>
      <w:r>
        <w:rPr>
          <w:rFonts w:ascii="Verdana" w:hAnsi="Verdana" w:cs="Tahoma"/>
        </w:rPr>
        <w:br/>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It is clear that in resolving to use Part 111 a local authority has access to the detailed provisions that enable them to operate and manage their Markets. However there are important differences between Part 111 and the provisions of the Londo</w:t>
      </w:r>
      <w:r>
        <w:rPr>
          <w:rFonts w:ascii="Verdana" w:hAnsi="Verdana" w:cs="Tahoma"/>
        </w:rPr>
        <w:t>n Local Authorities Act 1994. I am setting out below, simply by way of comparison, a table highlighting the main differences.</w:t>
      </w:r>
    </w:p>
    <w:p w:rsidR="00B11FA5" w:rsidRDefault="00B11FA5">
      <w:pPr>
        <w:pStyle w:val="Standard"/>
        <w:rPr>
          <w:rFonts w:ascii="Verdana" w:hAnsi="Verdana" w:cs="Tahoma"/>
        </w:rPr>
      </w:pPr>
    </w:p>
    <w:tbl>
      <w:tblPr>
        <w:tblW w:w="10031" w:type="dxa"/>
        <w:tblLayout w:type="fixed"/>
        <w:tblCellMar>
          <w:left w:w="10" w:type="dxa"/>
          <w:right w:w="10" w:type="dxa"/>
        </w:tblCellMar>
        <w:tblLook w:val="0000" w:firstRow="0" w:lastRow="0" w:firstColumn="0" w:lastColumn="0" w:noHBand="0" w:noVBand="0"/>
      </w:tblPr>
      <w:tblGrid>
        <w:gridCol w:w="3177"/>
        <w:gridCol w:w="3310"/>
        <w:gridCol w:w="3544"/>
      </w:tblGrid>
      <w:tr w:rsidR="00B11FA5">
        <w:tblPrEx>
          <w:tblCellMar>
            <w:top w:w="0" w:type="dxa"/>
            <w:bottom w:w="0" w:type="dxa"/>
          </w:tblCellMar>
        </w:tblPrEx>
        <w:trPr>
          <w:trHeight w:val="382"/>
        </w:trPr>
        <w:tc>
          <w:tcPr>
            <w:tcW w:w="3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b/>
                <w:bCs/>
              </w:rPr>
            </w:pPr>
            <w:r>
              <w:rPr>
                <w:rFonts w:ascii="Verdana" w:hAnsi="Verdana"/>
                <w:b/>
                <w:bCs/>
              </w:rPr>
              <w:t>SUBJECT MATTER</w:t>
            </w:r>
          </w:p>
        </w:tc>
        <w:tc>
          <w:tcPr>
            <w:tcW w:w="3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b/>
                <w:bCs/>
              </w:rPr>
            </w:pPr>
            <w:r>
              <w:rPr>
                <w:rFonts w:ascii="Verdana" w:hAnsi="Verdana"/>
                <w:b/>
                <w:bCs/>
              </w:rPr>
              <w:t>FOOD ACT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pPr>
            <w:r>
              <w:rPr>
                <w:rFonts w:ascii="Verdana" w:hAnsi="Verdana"/>
                <w:b/>
                <w:bCs/>
              </w:rPr>
              <w:t>STREET LEGISLATION</w:t>
            </w:r>
          </w:p>
        </w:tc>
      </w:tr>
      <w:tr w:rsidR="00B11FA5">
        <w:tblPrEx>
          <w:tblCellMar>
            <w:top w:w="0" w:type="dxa"/>
            <w:bottom w:w="0" w:type="dxa"/>
          </w:tblCellMar>
        </w:tblPrEx>
        <w:trPr>
          <w:trHeight w:val="1565"/>
        </w:trPr>
        <w:tc>
          <w:tcPr>
            <w:tcW w:w="3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Power to operate a market</w:t>
            </w:r>
          </w:p>
        </w:tc>
        <w:tc>
          <w:tcPr>
            <w:tcW w:w="3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The Food Act gives specific powers to establish a market wh</w:t>
            </w:r>
            <w:r>
              <w:rPr>
                <w:rFonts w:ascii="Verdana" w:hAnsi="Verdana"/>
              </w:rPr>
              <w:t>ich carries with it certain rights and responsibilities.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 xml:space="preserve">The Legislation is essentially concerned with street trading and while the street trading can result in the appearance of a market, it does not provide the licensing authority with the same level of </w:t>
            </w:r>
            <w:r>
              <w:rPr>
                <w:rFonts w:ascii="Verdana" w:hAnsi="Verdana"/>
              </w:rPr>
              <w:t>rights as enjoyed under the Food Act.</w:t>
            </w:r>
          </w:p>
          <w:p w:rsidR="00B11FA5" w:rsidRDefault="00B11FA5">
            <w:pPr>
              <w:pStyle w:val="TableContents"/>
              <w:rPr>
                <w:rFonts w:ascii="Verdana" w:hAnsi="Verdana"/>
              </w:rPr>
            </w:pPr>
          </w:p>
        </w:tc>
      </w:tr>
      <w:tr w:rsidR="00B11FA5">
        <w:tblPrEx>
          <w:tblCellMar>
            <w:top w:w="0" w:type="dxa"/>
            <w:bottom w:w="0" w:type="dxa"/>
          </w:tblCellMar>
        </w:tblPrEx>
        <w:trPr>
          <w:trHeight w:val="985"/>
        </w:trPr>
        <w:tc>
          <w:tcPr>
            <w:tcW w:w="3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Letting arrangements</w:t>
            </w:r>
          </w:p>
        </w:tc>
        <w:tc>
          <w:tcPr>
            <w:tcW w:w="3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The Food Act enables a local authority or other operator licensed by the local authority to determine its own letting arrangements which can be varied depending on local circumstances.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The street</w:t>
            </w:r>
            <w:r>
              <w:rPr>
                <w:rFonts w:ascii="Verdana" w:hAnsi="Verdana"/>
              </w:rPr>
              <w:t xml:space="preserve"> trading legislation largely prescribes the procedures to be followed in the various sections providing the way in which applications are dealt with, conditions in respect of licenses and appeals procedures.</w:t>
            </w:r>
          </w:p>
          <w:p w:rsidR="00B11FA5" w:rsidRDefault="00B11FA5">
            <w:pPr>
              <w:pStyle w:val="TableContents"/>
              <w:rPr>
                <w:rFonts w:ascii="Verdana" w:hAnsi="Verdana"/>
              </w:rPr>
            </w:pPr>
          </w:p>
        </w:tc>
      </w:tr>
      <w:tr w:rsidR="00B11FA5">
        <w:tblPrEx>
          <w:tblCellMar>
            <w:top w:w="0" w:type="dxa"/>
            <w:bottom w:w="0" w:type="dxa"/>
          </w:tblCellMar>
        </w:tblPrEx>
        <w:trPr>
          <w:trHeight w:val="985"/>
        </w:trPr>
        <w:tc>
          <w:tcPr>
            <w:tcW w:w="3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Charges</w:t>
            </w:r>
          </w:p>
        </w:tc>
        <w:tc>
          <w:tcPr>
            <w:tcW w:w="3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The Food Act enables a local authority</w:t>
            </w:r>
            <w:r>
              <w:rPr>
                <w:rFonts w:ascii="Verdana" w:hAnsi="Verdana"/>
              </w:rPr>
              <w:t xml:space="preserve"> to fix its own charges and these can be determined depending on a range of different circumstances.  The local authority is entitled to charge a commercial rate if </w:t>
            </w:r>
            <w:r>
              <w:rPr>
                <w:rFonts w:ascii="Verdana" w:hAnsi="Verdana"/>
              </w:rPr>
              <w:lastRenderedPageBreak/>
              <w:t>appropriate.</w:t>
            </w:r>
          </w:p>
          <w:p w:rsidR="00B11FA5" w:rsidRDefault="00B11FA5">
            <w:pPr>
              <w:pStyle w:val="TableContents"/>
              <w:rPr>
                <w:rFonts w:ascii="Verdana" w:hAnsi="Verdana"/>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lastRenderedPageBreak/>
              <w:t>The street trading legislation provides that charges must reflect the cost of</w:t>
            </w:r>
            <w:r>
              <w:rPr>
                <w:rFonts w:ascii="Verdana" w:hAnsi="Verdana"/>
              </w:rPr>
              <w:t xml:space="preserve"> providing the service with legislation setting out what might be included in the charges implemented.</w:t>
            </w:r>
          </w:p>
        </w:tc>
      </w:tr>
      <w:tr w:rsidR="00B11FA5">
        <w:tblPrEx>
          <w:tblCellMar>
            <w:top w:w="0" w:type="dxa"/>
            <w:bottom w:w="0" w:type="dxa"/>
          </w:tblCellMar>
        </w:tblPrEx>
        <w:trPr>
          <w:trHeight w:val="985"/>
        </w:trPr>
        <w:tc>
          <w:tcPr>
            <w:tcW w:w="3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lastRenderedPageBreak/>
              <w:t>Location</w:t>
            </w:r>
          </w:p>
        </w:tc>
        <w:tc>
          <w:tcPr>
            <w:tcW w:w="3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 xml:space="preserve">The Food Act provides for the establishment of the market but it is necessary before the market can be set up for other legal requirements to </w:t>
            </w:r>
            <w:r>
              <w:rPr>
                <w:rFonts w:ascii="Verdana" w:hAnsi="Verdana"/>
              </w:rPr>
              <w:t>be met.  This means that any highway or planning issues need to be resolved before the market can be established.  This can lead to difficulties particularly where there are likely to be objectors.</w:t>
            </w:r>
          </w:p>
          <w:p w:rsidR="00B11FA5" w:rsidRDefault="00B11FA5">
            <w:pPr>
              <w:pStyle w:val="TableContents"/>
              <w:rPr>
                <w:rFonts w:ascii="Verdana" w:hAnsi="Verdana"/>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The street trading legislation enables streets to be desi</w:t>
            </w:r>
            <w:r>
              <w:rPr>
                <w:rFonts w:ascii="Verdana" w:hAnsi="Verdana"/>
              </w:rPr>
              <w:t>gnated where trading can take place.  Once a street has been designated there is no need for any further action to be taken so the highways and planning requirements do not apply here.</w:t>
            </w:r>
          </w:p>
        </w:tc>
      </w:tr>
      <w:tr w:rsidR="00B11FA5">
        <w:tblPrEx>
          <w:tblCellMar>
            <w:top w:w="0" w:type="dxa"/>
            <w:bottom w:w="0" w:type="dxa"/>
          </w:tblCellMar>
        </w:tblPrEx>
        <w:trPr>
          <w:trHeight w:val="985"/>
        </w:trPr>
        <w:tc>
          <w:tcPr>
            <w:tcW w:w="3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Market Rights</w:t>
            </w:r>
          </w:p>
        </w:tc>
        <w:tc>
          <w:tcPr>
            <w:tcW w:w="3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pPr>
            <w:r>
              <w:rPr>
                <w:rFonts w:ascii="Verdana" w:hAnsi="Verdana"/>
              </w:rPr>
              <w:t>The Food Act enables a local authority or other operator</w:t>
            </w:r>
            <w:r>
              <w:rPr>
                <w:rFonts w:ascii="Verdana" w:hAnsi="Verdana"/>
              </w:rPr>
              <w:t xml:space="preserve"> to control or license other markets held within 6</w:t>
            </w:r>
            <w:r>
              <w:rPr>
                <w:rFonts w:ascii="Verdana" w:hAnsi="Verdana"/>
                <w:vertAlign w:val="superscript"/>
              </w:rPr>
              <w:t xml:space="preserve">2/3 </w:t>
            </w:r>
            <w:r>
              <w:rPr>
                <w:rFonts w:ascii="Verdana" w:hAnsi="Verdana"/>
              </w:rPr>
              <w:t xml:space="preserve">miles of the local authority market.  This is a very important issue for many market authorities and has resulted in many authorities controlling the number and quality of car boot sales and markets in </w:t>
            </w:r>
            <w:r>
              <w:rPr>
                <w:rFonts w:ascii="Verdana" w:hAnsi="Verdana"/>
              </w:rPr>
              <w:t>their area.</w:t>
            </w:r>
          </w:p>
          <w:p w:rsidR="00B11FA5" w:rsidRDefault="00B11FA5">
            <w:pPr>
              <w:pStyle w:val="TableContents"/>
              <w:rPr>
                <w:rFonts w:ascii="Verdana" w:hAnsi="Verdana"/>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The street trading legislation does not carry with it any market rights as it is essentially concerned with street trading and therefore any control over car boot sales and markets has to be done by alternative means.  In London there is legis</w:t>
            </w:r>
            <w:r>
              <w:rPr>
                <w:rFonts w:ascii="Verdana" w:hAnsi="Verdana"/>
              </w:rPr>
              <w:t>lation dealing with occasional sales so there is some degree of control.</w:t>
            </w:r>
          </w:p>
        </w:tc>
      </w:tr>
      <w:tr w:rsidR="00B11FA5">
        <w:tblPrEx>
          <w:tblCellMar>
            <w:top w:w="0" w:type="dxa"/>
            <w:bottom w:w="0" w:type="dxa"/>
          </w:tblCellMar>
        </w:tblPrEx>
        <w:trPr>
          <w:trHeight w:val="985"/>
        </w:trPr>
        <w:tc>
          <w:tcPr>
            <w:tcW w:w="3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Regulation of markets</w:t>
            </w:r>
          </w:p>
        </w:tc>
        <w:tc>
          <w:tcPr>
            <w:tcW w:w="3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The Food Act contains a series of provisions enabling the local authority to fix the dates of the market, the hours when the market will operate, and enables by</w:t>
            </w:r>
            <w:r>
              <w:rPr>
                <w:rFonts w:ascii="Verdana" w:hAnsi="Verdana"/>
              </w:rPr>
              <w:t>e laws and regulations to be made.  All these provisions are subject to local determination enabling the local authority to adapt to its own requirements.</w:t>
            </w:r>
          </w:p>
          <w:p w:rsidR="00B11FA5" w:rsidRDefault="00B11FA5">
            <w:pPr>
              <w:pStyle w:val="TableContents"/>
              <w:rPr>
                <w:rFonts w:ascii="Verdana" w:hAnsi="Verdana"/>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 xml:space="preserve">The street trading legislation prescribes the way in which the regulation of street trading will be </w:t>
            </w:r>
            <w:r>
              <w:rPr>
                <w:rFonts w:ascii="Verdana" w:hAnsi="Verdana"/>
              </w:rPr>
              <w:t>organised by providing specific provisions within the detailed legislation.</w:t>
            </w:r>
          </w:p>
        </w:tc>
      </w:tr>
      <w:tr w:rsidR="00B11FA5">
        <w:tblPrEx>
          <w:tblCellMar>
            <w:top w:w="0" w:type="dxa"/>
            <w:bottom w:w="0" w:type="dxa"/>
          </w:tblCellMar>
        </w:tblPrEx>
        <w:trPr>
          <w:trHeight w:val="985"/>
        </w:trPr>
        <w:tc>
          <w:tcPr>
            <w:tcW w:w="3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Traders' rights</w:t>
            </w:r>
          </w:p>
        </w:tc>
        <w:tc>
          <w:tcPr>
            <w:tcW w:w="3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The Food Act does not contain any specific provisions relating to traders' rights and these have to be introduced separately by the local authority.  They are norm</w:t>
            </w:r>
            <w:r>
              <w:rPr>
                <w:rFonts w:ascii="Verdana" w:hAnsi="Verdana"/>
              </w:rPr>
              <w:t>ally introduced by way of disciplinary procedures akin to the procedures followed by local authorities when disciplining staff.</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The street trading legislation sets out specifically the rights of traders who are licensed under the legislation and there is a</w:t>
            </w:r>
            <w:r>
              <w:rPr>
                <w:rFonts w:ascii="Verdana" w:hAnsi="Verdana"/>
              </w:rPr>
              <w:t xml:space="preserve"> laid down procedure that has to be followed.  The London Legislation gives traders significant protection and overcoming this protection is likely to be one of the main obstacles in a transition to the Food Act.</w:t>
            </w:r>
          </w:p>
        </w:tc>
      </w:tr>
      <w:tr w:rsidR="00B11FA5">
        <w:tblPrEx>
          <w:tblCellMar>
            <w:top w:w="0" w:type="dxa"/>
            <w:bottom w:w="0" w:type="dxa"/>
          </w:tblCellMar>
        </w:tblPrEx>
        <w:trPr>
          <w:trHeight w:val="985"/>
        </w:trPr>
        <w:tc>
          <w:tcPr>
            <w:tcW w:w="3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Overall</w:t>
            </w:r>
          </w:p>
        </w:tc>
        <w:tc>
          <w:tcPr>
            <w:tcW w:w="3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pPr>
            <w:r>
              <w:rPr>
                <w:rFonts w:ascii="Verdana" w:hAnsi="Verdana"/>
              </w:rPr>
              <w:t xml:space="preserve">The Food Act provides much more </w:t>
            </w:r>
            <w:r>
              <w:rPr>
                <w:rFonts w:ascii="Verdana" w:hAnsi="Verdana"/>
              </w:rPr>
              <w:t>local control and importantly gives a market authority the right to control other markets and car boot sales within 6</w:t>
            </w:r>
            <w:r>
              <w:rPr>
                <w:rFonts w:ascii="Verdana" w:hAnsi="Verdana"/>
                <w:vertAlign w:val="superscript"/>
              </w:rPr>
              <w:t xml:space="preserve">2/3 </w:t>
            </w:r>
            <w:r>
              <w:rPr>
                <w:rFonts w:ascii="Verdana" w:hAnsi="Verdana"/>
              </w:rPr>
              <w:t>miles.  Additionally, it enables a local authority to fix charges and make a profit and that profit can be used for any purpose.  Impor</w:t>
            </w:r>
            <w:r>
              <w:rPr>
                <w:rFonts w:ascii="Verdana" w:hAnsi="Verdana"/>
              </w:rPr>
              <w:t>tantly, the Food Act also enables a local authority to pass control of the market to a private operator or third party.</w:t>
            </w:r>
          </w:p>
          <w:p w:rsidR="00B11FA5" w:rsidRDefault="00B11FA5">
            <w:pPr>
              <w:pStyle w:val="TableContents"/>
              <w:rPr>
                <w:rFonts w:ascii="Verdana" w:hAnsi="Verdana"/>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FA5" w:rsidRDefault="006D76A4">
            <w:pPr>
              <w:pStyle w:val="TableContents"/>
              <w:rPr>
                <w:rFonts w:ascii="Verdana" w:hAnsi="Verdana"/>
              </w:rPr>
            </w:pPr>
            <w:r>
              <w:rPr>
                <w:rFonts w:ascii="Verdana" w:hAnsi="Verdana"/>
              </w:rPr>
              <w:t xml:space="preserve">The street trading </w:t>
            </w:r>
            <w:proofErr w:type="spellStart"/>
            <w:r>
              <w:rPr>
                <w:rFonts w:ascii="Verdana" w:hAnsi="Verdana"/>
              </w:rPr>
              <w:t>legilsation</w:t>
            </w:r>
            <w:proofErr w:type="spellEnd"/>
            <w:r>
              <w:rPr>
                <w:rFonts w:ascii="Verdana" w:hAnsi="Verdana"/>
              </w:rPr>
              <w:t xml:space="preserve"> is essentially concerned with street trading and not markets and has limitations with regard to the char</w:t>
            </w:r>
            <w:r>
              <w:rPr>
                <w:rFonts w:ascii="Verdana" w:hAnsi="Verdana"/>
              </w:rPr>
              <w:t xml:space="preserve">ging regime and also limits licensing by preventing the responsibility being transferred to a private operator or third party.  The benefits reside in designating streets for trading purposes and also having prescribed procedures in terms of how trading </w:t>
            </w:r>
            <w:proofErr w:type="spellStart"/>
            <w:r>
              <w:rPr>
                <w:rFonts w:ascii="Verdana" w:hAnsi="Verdana"/>
              </w:rPr>
              <w:t>op</w:t>
            </w:r>
            <w:r>
              <w:rPr>
                <w:rFonts w:ascii="Verdana" w:hAnsi="Verdana"/>
              </w:rPr>
              <w:t>erates.It</w:t>
            </w:r>
            <w:proofErr w:type="spellEnd"/>
            <w:r>
              <w:rPr>
                <w:rFonts w:ascii="Verdana" w:hAnsi="Verdana"/>
              </w:rPr>
              <w:t xml:space="preserve"> also has the benefit of not attracting </w:t>
            </w:r>
            <w:proofErr w:type="spellStart"/>
            <w:r>
              <w:rPr>
                <w:rFonts w:ascii="Verdana" w:hAnsi="Verdana"/>
              </w:rPr>
              <w:t>buisness</w:t>
            </w:r>
            <w:proofErr w:type="spellEnd"/>
            <w:r>
              <w:rPr>
                <w:rFonts w:ascii="Verdana" w:hAnsi="Verdana"/>
              </w:rPr>
              <w:t xml:space="preserve"> rates liability although that might be changing.</w:t>
            </w:r>
          </w:p>
        </w:tc>
      </w:tr>
    </w:tbl>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 xml:space="preserve">However one of the main benefits of using the street trading legislation resides in the fact that once a resolution has been passed to embrace the </w:t>
      </w:r>
      <w:r>
        <w:rPr>
          <w:rFonts w:ascii="Verdana" w:hAnsi="Verdana" w:cs="Tahoma"/>
        </w:rPr>
        <w:t>street trading provisions then no further action is required in terms of planning or street closure.</w:t>
      </w:r>
    </w:p>
    <w:p w:rsidR="00B11FA5" w:rsidRDefault="006D76A4">
      <w:pPr>
        <w:pStyle w:val="Standard"/>
        <w:rPr>
          <w:rFonts w:ascii="Verdana" w:hAnsi="Verdana" w:cs="Tahoma"/>
        </w:rPr>
      </w:pPr>
      <w:r>
        <w:rPr>
          <w:rFonts w:ascii="Verdana" w:hAnsi="Verdana" w:cs="Tahoma"/>
        </w:rPr>
        <w:t xml:space="preserve">     </w:t>
      </w:r>
    </w:p>
    <w:p w:rsidR="00B11FA5" w:rsidRDefault="006D76A4">
      <w:pPr>
        <w:pStyle w:val="Standard"/>
      </w:pPr>
      <w:r>
        <w:rPr>
          <w:rFonts w:ascii="Verdana" w:hAnsi="Verdana" w:cs="Tahoma"/>
          <w:b/>
          <w:u w:val="single"/>
        </w:rPr>
        <w:t xml:space="preserve">THE POWERS ENJOYED BY A MARKET OPERATOR </w:t>
      </w:r>
      <w:r>
        <w:rPr>
          <w:rFonts w:ascii="Verdana" w:hAnsi="Verdana" w:cs="Tahoma"/>
        </w:rPr>
        <w:br/>
      </w:r>
      <w:r>
        <w:rPr>
          <w:rFonts w:ascii="Verdana" w:hAnsi="Verdana" w:cs="Tahoma"/>
        </w:rPr>
        <w:br/>
      </w:r>
      <w:r>
        <w:rPr>
          <w:rFonts w:ascii="Verdana" w:hAnsi="Verdana" w:cs="Tahoma"/>
        </w:rPr>
        <w:t>Reference has already been made to the various powers available under Part 111. Beyond the statutory provis</w:t>
      </w:r>
      <w:r>
        <w:rPr>
          <w:rFonts w:ascii="Verdana" w:hAnsi="Verdana" w:cs="Tahoma"/>
        </w:rPr>
        <w:t>ions the most important common law right is the ability to control other markets within 6 2/3 miles radius of the market operator's Markets.</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The origins of the 6 2/3 miles radius date back to the Middle Ages when it was considered that a person could walk</w:t>
      </w:r>
      <w:r>
        <w:rPr>
          <w:rFonts w:ascii="Verdana" w:hAnsi="Verdana" w:cs="Tahoma"/>
        </w:rPr>
        <w:t xml:space="preserve"> twenty miles in a day and the three elements of travelling to a Market, trading at the Market and returning from the Market were divided into equal segments.</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 xml:space="preserve">Reference has already been made to the limitations that exist in respect of the use of Part 111 </w:t>
      </w:r>
      <w:r>
        <w:rPr>
          <w:rFonts w:ascii="Verdana" w:hAnsi="Verdana" w:cs="Tahoma"/>
        </w:rPr>
        <w:t>and it is important that in exercising its market rights Southwark seeks to establish whether any Market that is under consideration is the recipient of its own market rights. I suspect it is unlikely as it would normally mean that the intending market ope</w:t>
      </w:r>
      <w:r>
        <w:rPr>
          <w:rFonts w:ascii="Verdana" w:hAnsi="Verdana" w:cs="Tahoma"/>
        </w:rPr>
        <w:t>rator had acquired a Royal Charter or one of the other powers I have identified earlier but it is important checks are made.</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 xml:space="preserve">It is important to acknowledge that </w:t>
      </w:r>
      <w:proofErr w:type="gramStart"/>
      <w:r>
        <w:rPr>
          <w:rFonts w:ascii="Verdana" w:hAnsi="Verdana" w:cs="Tahoma"/>
        </w:rPr>
        <w:t>this</w:t>
      </w:r>
      <w:proofErr w:type="gramEnd"/>
      <w:r>
        <w:rPr>
          <w:rFonts w:ascii="Verdana" w:hAnsi="Verdana" w:cs="Tahoma"/>
        </w:rPr>
        <w:t xml:space="preserve"> 6 2/3 miles radius can extend beyond local authority boundaries as was evidenced in the c</w:t>
      </w:r>
      <w:r>
        <w:rPr>
          <w:rFonts w:ascii="Verdana" w:hAnsi="Verdana" w:cs="Tahoma"/>
        </w:rPr>
        <w:t xml:space="preserve">ase of </w:t>
      </w:r>
      <w:proofErr w:type="spellStart"/>
      <w:r>
        <w:rPr>
          <w:rFonts w:ascii="Verdana" w:hAnsi="Verdana" w:cs="Tahoma"/>
        </w:rPr>
        <w:t>Halton</w:t>
      </w:r>
      <w:proofErr w:type="spellEnd"/>
      <w:r>
        <w:rPr>
          <w:rFonts w:ascii="Verdana" w:hAnsi="Verdana" w:cs="Tahoma"/>
        </w:rPr>
        <w:t xml:space="preserve"> Borough Council v </w:t>
      </w:r>
      <w:proofErr w:type="spellStart"/>
      <w:r>
        <w:rPr>
          <w:rFonts w:ascii="Verdana" w:hAnsi="Verdana" w:cs="Tahoma"/>
        </w:rPr>
        <w:t>Cawley</w:t>
      </w:r>
      <w:proofErr w:type="spellEnd"/>
      <w:r>
        <w:rPr>
          <w:rFonts w:ascii="Verdana" w:hAnsi="Verdana" w:cs="Tahoma"/>
        </w:rPr>
        <w:t xml:space="preserve"> (1985) 1 WLR where the local authority successfully dealt with a “rival” Market that was outside of its administrative area but within the 6 2/3 miles radius.</w:t>
      </w:r>
    </w:p>
    <w:p w:rsidR="00B11FA5" w:rsidRDefault="006D76A4">
      <w:pPr>
        <w:pStyle w:val="Standard"/>
        <w:rPr>
          <w:rFonts w:ascii="Verdana" w:hAnsi="Verdana" w:cs="Tahoma"/>
        </w:rPr>
      </w:pPr>
      <w:r>
        <w:rPr>
          <w:rFonts w:ascii="Verdana" w:hAnsi="Verdana" w:cs="Tahoma"/>
        </w:rPr>
        <w:br/>
      </w:r>
      <w:r>
        <w:rPr>
          <w:rFonts w:ascii="Verdana" w:hAnsi="Verdana" w:cs="Tahoma"/>
        </w:rPr>
        <w:br/>
      </w:r>
      <w:r>
        <w:rPr>
          <w:rFonts w:ascii="Verdana" w:hAnsi="Verdana" w:cs="Tahoma"/>
        </w:rPr>
        <w:t>It is important to point out that this important right c</w:t>
      </w:r>
      <w:r>
        <w:rPr>
          <w:rFonts w:ascii="Verdana" w:hAnsi="Verdana" w:cs="Tahoma"/>
        </w:rPr>
        <w:t xml:space="preserve">an be extended if the market operator licenses another market within the 6 2/3 miles limit. This arrangement was approved in the Leeds City Council v Watkins and </w:t>
      </w:r>
      <w:proofErr w:type="spellStart"/>
      <w:r>
        <w:rPr>
          <w:rFonts w:ascii="Verdana" w:hAnsi="Verdana" w:cs="Tahoma"/>
        </w:rPr>
        <w:t>Whiteley</w:t>
      </w:r>
      <w:proofErr w:type="spellEnd"/>
      <w:r>
        <w:rPr>
          <w:rFonts w:ascii="Verdana" w:hAnsi="Verdana" w:cs="Tahoma"/>
        </w:rPr>
        <w:t xml:space="preserve"> (2003) LLR 477 where the local authority was having difficulty in bringing an unautho</w:t>
      </w:r>
      <w:r>
        <w:rPr>
          <w:rFonts w:ascii="Verdana" w:hAnsi="Verdana" w:cs="Tahoma"/>
        </w:rPr>
        <w:t>rised car boot sale within the scope of their licensing policy. However they were able to achieve this by using a private Market that they had previously licensed. Mr Justice Smith made it clear that if the Council had operated the Market it would be entit</w:t>
      </w:r>
      <w:r>
        <w:rPr>
          <w:rFonts w:ascii="Verdana" w:hAnsi="Verdana" w:cs="Tahoma"/>
        </w:rPr>
        <w:t>led to enforce its market rights and he did not see any difference merely because the Council licenses somebody else to do what it would otherwise do.</w:t>
      </w:r>
      <w:r>
        <w:rPr>
          <w:rFonts w:ascii="Verdana" w:hAnsi="Verdana" w:cs="Tahoma"/>
        </w:rPr>
        <w:br/>
      </w:r>
    </w:p>
    <w:p w:rsidR="00B11FA5" w:rsidRDefault="006D76A4">
      <w:pPr>
        <w:pStyle w:val="Standard"/>
        <w:rPr>
          <w:rFonts w:ascii="Verdana" w:hAnsi="Verdana" w:cs="Tahoma"/>
        </w:rPr>
      </w:pPr>
      <w:r>
        <w:rPr>
          <w:rFonts w:ascii="Verdana" w:hAnsi="Verdana" w:cs="Tahoma"/>
        </w:rPr>
        <w:t>The application of market rights is guided by simple principles. If a “rival” Market is held on the same</w:t>
      </w:r>
      <w:r>
        <w:rPr>
          <w:rFonts w:ascii="Verdana" w:hAnsi="Verdana" w:cs="Tahoma"/>
        </w:rPr>
        <w:t xml:space="preserve"> day then the owner of the market rights is entitled to automatic relief without having to prove damage. If the “rival” Market is held on a different day then it is necessary to demonstrate damage or at least the likelihood of damage. Damage is viewed as l</w:t>
      </w:r>
      <w:r>
        <w:rPr>
          <w:rFonts w:ascii="Verdana" w:hAnsi="Verdana" w:cs="Tahoma"/>
        </w:rPr>
        <w:t>oss of revenue or traders. However these simple principles now need to be considered in different context as explained in the following sections</w:t>
      </w:r>
      <w:r>
        <w:rPr>
          <w:rFonts w:ascii="Verdana" w:hAnsi="Verdana" w:cs="Tahoma"/>
        </w:rPr>
        <w:br/>
      </w:r>
    </w:p>
    <w:p w:rsidR="00B11FA5" w:rsidRDefault="006D76A4">
      <w:pPr>
        <w:pStyle w:val="Standard"/>
        <w:ind w:hanging="720"/>
        <w:rPr>
          <w:rFonts w:ascii="Verdana" w:hAnsi="Verdana" w:cs="Tahoma"/>
          <w:b/>
          <w:bCs/>
          <w:u w:val="single"/>
        </w:rPr>
      </w:pPr>
      <w:r>
        <w:rPr>
          <w:rFonts w:ascii="Verdana" w:hAnsi="Verdana" w:cs="Tahoma"/>
          <w:b/>
          <w:bCs/>
          <w:u w:val="single"/>
        </w:rPr>
        <w:t>CONTROLLING OTHER MARKETS</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 xml:space="preserve">The Leeds case, highlighted in the last section, is a very important case in terms </w:t>
      </w:r>
      <w:r>
        <w:rPr>
          <w:rFonts w:ascii="Verdana" w:hAnsi="Verdana" w:cs="Tahoma"/>
        </w:rPr>
        <w:t>of controlling other Markets. Leeds had a licensing policy which was approved by the court and attempts to dismiss the policy by alleging that market rights are in contravention of monopoly and European legislation were dismissed.</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 xml:space="preserve">Many local authorities </w:t>
      </w:r>
      <w:r>
        <w:rPr>
          <w:rFonts w:ascii="Verdana" w:hAnsi="Verdana" w:cs="Tahoma"/>
        </w:rPr>
        <w:t>operate markets licensing policies, similar to those used by Leeds, under which they have a system of considering applications in respect of other markets.</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 xml:space="preserve">In some cases the policy differentiates between commercial markets and charity/community markets.  </w:t>
      </w:r>
      <w:r>
        <w:rPr>
          <w:rFonts w:ascii="Verdana" w:hAnsi="Verdana" w:cs="Tahoma"/>
        </w:rPr>
        <w:t xml:space="preserve">Commercial markets are subject to stringent requirements and often the market operator is required to pay a substantial fee to the local authority in recognition of the right to hold a market.  </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While the Leeds case was the last significant judicial chall</w:t>
      </w:r>
      <w:r>
        <w:rPr>
          <w:rFonts w:ascii="Verdana" w:hAnsi="Verdana" w:cs="Tahoma"/>
        </w:rPr>
        <w:t xml:space="preserve">enge to market rights there have been a number of other challenges.  However, so far, all the challenges have been defeated and market rights continue to operate in a legitimate way.  </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 xml:space="preserve">The Government has looked at this issue on a number of occasions.  In </w:t>
      </w:r>
      <w:r>
        <w:rPr>
          <w:rFonts w:ascii="Verdana" w:hAnsi="Verdana" w:cs="Tahoma"/>
        </w:rPr>
        <w:t xml:space="preserve">the early 1990's the then Government included provisions in the Deregulation and Contracting </w:t>
      </w:r>
      <w:proofErr w:type="gramStart"/>
      <w:r>
        <w:rPr>
          <w:rFonts w:ascii="Verdana" w:hAnsi="Verdana" w:cs="Tahoma"/>
        </w:rPr>
        <w:t>Out</w:t>
      </w:r>
      <w:proofErr w:type="gramEnd"/>
      <w:r>
        <w:rPr>
          <w:rFonts w:ascii="Verdana" w:hAnsi="Verdana" w:cs="Tahoma"/>
        </w:rPr>
        <w:t xml:space="preserve"> Bill to remove the licensing powers from local authorities on the basis that they were anti-competitive.  However, such was the opposition from local authoriti</w:t>
      </w:r>
      <w:r>
        <w:rPr>
          <w:rFonts w:ascii="Verdana" w:hAnsi="Verdana" w:cs="Tahoma"/>
        </w:rPr>
        <w:t>es that the provisions were withdrawn prior to the Bill being enacted.</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More recently the Government has again looked at market rights as part of its deregulation policy and its interest in the legitimacy of market rights has been heightened by the emergen</w:t>
      </w:r>
      <w:r>
        <w:rPr>
          <w:rFonts w:ascii="Verdana" w:hAnsi="Verdana" w:cs="Tahoma"/>
        </w:rPr>
        <w:t>ce of the European Services Directive.</w:t>
      </w:r>
    </w:p>
    <w:p w:rsidR="00B11FA5" w:rsidRDefault="00B11FA5">
      <w:pPr>
        <w:pStyle w:val="Standard"/>
        <w:rPr>
          <w:rFonts w:ascii="Verdana" w:hAnsi="Verdana" w:cs="Tahoma"/>
        </w:rPr>
      </w:pPr>
    </w:p>
    <w:p w:rsidR="00B11FA5" w:rsidRDefault="006D76A4">
      <w:pPr>
        <w:pStyle w:val="Standard"/>
        <w:ind w:hanging="720"/>
        <w:rPr>
          <w:rFonts w:ascii="Verdana" w:hAnsi="Verdana" w:cs="Tahoma"/>
          <w:b/>
          <w:bCs/>
          <w:u w:val="single"/>
        </w:rPr>
      </w:pPr>
      <w:r>
        <w:rPr>
          <w:rFonts w:ascii="Verdana" w:hAnsi="Verdana" w:cs="Tahoma"/>
          <w:b/>
          <w:bCs/>
          <w:u w:val="single"/>
        </w:rPr>
        <w:t>EUROPEAN SERVICES DIRECTIVE</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The European Services Directive became part of UK legislation in December 2009 by the Provision of Services Regulations (S.I 2009/2999).  It affects a number of services provided by local</w:t>
      </w:r>
      <w:r>
        <w:rPr>
          <w:rFonts w:ascii="Verdana" w:hAnsi="Verdana" w:cs="Tahoma"/>
        </w:rPr>
        <w:t xml:space="preserve"> authorities, particularly those relating to licensing. Whatever the outcome of the BREXIT discussions the Directive must be taken into consideration at this stage of any discussions on the application of market rights.</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One of the principal aims of the le</w:t>
      </w:r>
      <w:r>
        <w:rPr>
          <w:rFonts w:ascii="Verdana" w:hAnsi="Verdana" w:cs="Tahoma"/>
        </w:rPr>
        <w:t>gislation is to remove barriers to trading and when the Directive first became part of UK legislation, the Government highlighted a series of powers which they identified as being caught by the provisions of the Directive.  Market rights were among these p</w:t>
      </w:r>
      <w:r>
        <w:rPr>
          <w:rFonts w:ascii="Verdana" w:hAnsi="Verdana" w:cs="Tahoma"/>
        </w:rPr>
        <w:t xml:space="preserve">owers.  </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Initially Government took the view that market rights were no longer sustainable because of the requirements of the Directive and local authorities were urged to examine the powers they used to operate a market rights policy and assess whether th</w:t>
      </w:r>
      <w:r>
        <w:rPr>
          <w:rFonts w:ascii="Verdana" w:hAnsi="Verdana" w:cs="Tahoma"/>
        </w:rPr>
        <w:t xml:space="preserve">ey were compatible with the provisions of the Directive.  </w:t>
      </w:r>
    </w:p>
    <w:p w:rsidR="00B11FA5" w:rsidRDefault="00B11FA5">
      <w:pPr>
        <w:pStyle w:val="Standard"/>
        <w:rPr>
          <w:rFonts w:ascii="Verdana" w:hAnsi="Verdana" w:cs="Tahoma"/>
        </w:rPr>
      </w:pPr>
    </w:p>
    <w:p w:rsidR="00B11FA5" w:rsidRDefault="006D76A4">
      <w:pPr>
        <w:pStyle w:val="Standard"/>
      </w:pPr>
      <w:r>
        <w:rPr>
          <w:rFonts w:ascii="Verdana" w:hAnsi="Verdana" w:cs="Tahoma"/>
        </w:rPr>
        <w:t>NABMA took the view that the Government's view was incorrect and sought Counsel's opinion.  This opinion indicated that “there were good reasons for believing that market rights fall outside the p</w:t>
      </w:r>
      <w:r>
        <w:rPr>
          <w:rFonts w:ascii="Verdana" w:hAnsi="Verdana" w:cs="Tahoma"/>
        </w:rPr>
        <w:t>rovisions of the European Services Directive” on the basis that market rights are monopolistic in nature and are therefore dealt with by separate legislation.  In addition market rights are incorporeal and therefore fall outside the scope of the Directive.</w:t>
      </w:r>
      <w:r>
        <w:rPr>
          <w:rFonts w:ascii="Verdana" w:hAnsi="Verdana" w:cs="Tahoma"/>
        </w:rPr>
        <w:t xml:space="preserve">  These arguments were put to Government and while the Government indicated it did not entirely accept what NABMA had to say, agreed that the final decision would have to be made by a Court.  NABMA continues to advise its members that the use of market rig</w:t>
      </w:r>
      <w:r>
        <w:rPr>
          <w:rFonts w:ascii="Verdana" w:hAnsi="Verdana" w:cs="Tahoma"/>
        </w:rPr>
        <w:t>hts remains legitimate but, in the context of the requirements of the European Services Directive, recommends to its members that any market rights policy should be reasonable and proportionate and have a strong policy basis</w:t>
      </w:r>
    </w:p>
    <w:p w:rsidR="00B11FA5" w:rsidRDefault="00B11FA5">
      <w:pPr>
        <w:pStyle w:val="Standard"/>
        <w:rPr>
          <w:rFonts w:ascii="Verdana" w:hAnsi="Verdana" w:cs="Tahoma"/>
        </w:rPr>
      </w:pPr>
    </w:p>
    <w:p w:rsidR="00B11FA5" w:rsidRDefault="006D76A4">
      <w:pPr>
        <w:pStyle w:val="Standard"/>
        <w:rPr>
          <w:rFonts w:ascii="Verdana" w:hAnsi="Verdana" w:cs="Tahoma"/>
        </w:rPr>
      </w:pPr>
      <w:r>
        <w:rPr>
          <w:rFonts w:ascii="Verdana" w:hAnsi="Verdana" w:cs="Tahoma"/>
        </w:rPr>
        <w:t>In this respect I believe it i</w:t>
      </w:r>
      <w:r>
        <w:rPr>
          <w:rFonts w:ascii="Verdana" w:hAnsi="Verdana" w:cs="Tahoma"/>
        </w:rPr>
        <w:t xml:space="preserve">s not acceptable to operate a market rights policy in an arbitrary or negative way.  There must be a justification for the use of a market rights policy.  The justification may reside in a desire to ensure consumer protection, public safety, </w:t>
      </w:r>
      <w:proofErr w:type="gramStart"/>
      <w:r>
        <w:rPr>
          <w:rFonts w:ascii="Verdana" w:hAnsi="Verdana" w:cs="Tahoma"/>
        </w:rPr>
        <w:t>the</w:t>
      </w:r>
      <w:proofErr w:type="gramEnd"/>
      <w:r>
        <w:rPr>
          <w:rFonts w:ascii="Verdana" w:hAnsi="Verdana" w:cs="Tahoma"/>
        </w:rPr>
        <w:t xml:space="preserve"> quality of</w:t>
      </w:r>
      <w:r>
        <w:rPr>
          <w:rFonts w:ascii="Verdana" w:hAnsi="Verdana" w:cs="Tahoma"/>
        </w:rPr>
        <w:t xml:space="preserve"> the market offer or to ensure that market provision is provided in a balanced way.  It is for the local authority to determine the basis of the policy dimension.  </w:t>
      </w:r>
      <w:r>
        <w:rPr>
          <w:rFonts w:ascii="Verdana" w:hAnsi="Verdana" w:cs="Tahoma"/>
        </w:rPr>
        <w:br/>
      </w:r>
      <w:r>
        <w:rPr>
          <w:rFonts w:ascii="Verdana" w:hAnsi="Verdana" w:cs="Tahoma"/>
        </w:rPr>
        <w:br/>
      </w:r>
      <w:r>
        <w:rPr>
          <w:rFonts w:ascii="Verdana" w:hAnsi="Verdana" w:cs="Tahoma"/>
        </w:rPr>
        <w:t>Any market operator will need to consider, if it wishes to introduce a markets policy, how</w:t>
      </w:r>
      <w:r>
        <w:rPr>
          <w:rFonts w:ascii="Verdana" w:hAnsi="Verdana" w:cs="Tahoma"/>
        </w:rPr>
        <w:t xml:space="preserve"> it wishes to justify its licensing policy and much will depend on the current situation with regard to other markets within the Council's area and whether the Council wishes to differentiate between commercial and charity/community events.  </w:t>
      </w:r>
      <w:r>
        <w:rPr>
          <w:rFonts w:ascii="Verdana" w:hAnsi="Verdana" w:cs="Tahoma"/>
        </w:rPr>
        <w:br/>
      </w:r>
      <w:r>
        <w:rPr>
          <w:rFonts w:ascii="Verdana" w:hAnsi="Verdana" w:cs="Tahoma"/>
        </w:rPr>
        <w:br/>
      </w:r>
      <w:r>
        <w:rPr>
          <w:rFonts w:ascii="Verdana" w:hAnsi="Verdana" w:cs="Tahoma"/>
        </w:rPr>
        <w:t>Examples hav</w:t>
      </w:r>
      <w:r>
        <w:rPr>
          <w:rFonts w:ascii="Verdana" w:hAnsi="Verdana" w:cs="Tahoma"/>
        </w:rPr>
        <w:t xml:space="preserve">e been given of the sort of criteria that can be used in support of a licensing policy but it is important to point out that the Council will have to be consistent in the way that the policy is applied and will have to ensure that any requirements applied </w:t>
      </w:r>
      <w:r>
        <w:rPr>
          <w:rFonts w:ascii="Verdana" w:hAnsi="Verdana" w:cs="Tahoma"/>
        </w:rPr>
        <w:t xml:space="preserve">to other markets are similarly applied to its own markets.  </w:t>
      </w:r>
      <w:r>
        <w:rPr>
          <w:rFonts w:ascii="Verdana" w:hAnsi="Verdana" w:cs="Tahoma"/>
        </w:rPr>
        <w:br/>
      </w:r>
    </w:p>
    <w:p w:rsidR="00B11FA5" w:rsidRDefault="006D76A4">
      <w:pPr>
        <w:pStyle w:val="Standard"/>
        <w:rPr>
          <w:rFonts w:ascii="Verdana" w:hAnsi="Verdana" w:cs="Tahoma"/>
        </w:rPr>
      </w:pPr>
      <w:r>
        <w:rPr>
          <w:rFonts w:ascii="Verdana" w:hAnsi="Verdana" w:cs="Tahoma"/>
        </w:rPr>
        <w:t>Graham Wilson OBE</w:t>
      </w:r>
    </w:p>
    <w:p w:rsidR="00B11FA5" w:rsidRDefault="006D76A4">
      <w:pPr>
        <w:pStyle w:val="Standard"/>
        <w:rPr>
          <w:rFonts w:ascii="Verdana" w:hAnsi="Verdana" w:cs="Tahoma"/>
        </w:rPr>
      </w:pPr>
      <w:r>
        <w:rPr>
          <w:rFonts w:ascii="Verdana" w:hAnsi="Verdana" w:cs="Tahoma"/>
        </w:rPr>
        <w:t>Chief Executive</w:t>
      </w:r>
    </w:p>
    <w:p w:rsidR="00B11FA5" w:rsidRDefault="006D76A4">
      <w:pPr>
        <w:pStyle w:val="Standard"/>
        <w:rPr>
          <w:rFonts w:ascii="Verdana" w:hAnsi="Verdana" w:cs="Tahoma"/>
        </w:rPr>
      </w:pPr>
      <w:r>
        <w:rPr>
          <w:rFonts w:ascii="Verdana" w:hAnsi="Verdana" w:cs="Tahoma"/>
        </w:rPr>
        <w:t>NABMA</w:t>
      </w:r>
    </w:p>
    <w:p w:rsidR="00B11FA5" w:rsidRDefault="00B11FA5">
      <w:pPr>
        <w:pStyle w:val="Standard"/>
        <w:rPr>
          <w:rFonts w:ascii="Verdana" w:hAnsi="Verdana"/>
          <w:spacing w:val="32"/>
        </w:rPr>
      </w:pPr>
    </w:p>
    <w:sectPr w:rsidR="00B11FA5" w:rsidSect="006D76A4">
      <w:footerReference w:type="default" r:id="rId8"/>
      <w:pgSz w:w="11906" w:h="16838"/>
      <w:pgMar w:top="720" w:right="1134" w:bottom="1613" w:left="1134" w:header="720" w:footer="1054" w:gutter="0"/>
      <w:pgBorders w:display="firstPage" w:offsetFrom="page">
        <w:top w:val="single" w:sz="48" w:space="24" w:color="auto"/>
        <w:left w:val="single" w:sz="48" w:space="24" w:color="auto"/>
        <w:bottom w:val="single" w:sz="48" w:space="24" w:color="auto"/>
        <w:right w:val="single" w:sz="4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76A4">
      <w:r>
        <w:separator/>
      </w:r>
    </w:p>
  </w:endnote>
  <w:endnote w:type="continuationSeparator" w:id="0">
    <w:p w:rsidR="00000000" w:rsidRDefault="006D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2C9" w:rsidRDefault="006D76A4">
    <w:pPr>
      <w:pStyle w:val="Footer"/>
      <w:jc w:val="right"/>
    </w:pPr>
    <w:r>
      <w:rPr>
        <w:rFonts w:ascii="Tahoma" w:hAnsi="Tahoma"/>
      </w:rPr>
      <w:fldChar w:fldCharType="begin"/>
    </w:r>
    <w:r>
      <w:rPr>
        <w:rFonts w:ascii="Tahoma" w:hAnsi="Tahoma"/>
      </w:rPr>
      <w:instrText xml:space="preserve"> PAGE </w:instrText>
    </w:r>
    <w:r>
      <w:rPr>
        <w:rFonts w:ascii="Tahoma" w:hAnsi="Tahoma"/>
      </w:rPr>
      <w:fldChar w:fldCharType="separate"/>
    </w:r>
    <w:r>
      <w:rPr>
        <w:rFonts w:ascii="Tahoma" w:hAnsi="Tahoma"/>
        <w:noProof/>
      </w:rPr>
      <w:t>1</w:t>
    </w:r>
    <w:r>
      <w:rPr>
        <w:rFonts w:ascii="Tahoma" w:hAns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76A4">
      <w:r>
        <w:rPr>
          <w:color w:val="000000"/>
        </w:rPr>
        <w:separator/>
      </w:r>
    </w:p>
  </w:footnote>
  <w:footnote w:type="continuationSeparator" w:id="0">
    <w:p w:rsidR="00000000" w:rsidRDefault="006D76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6D4"/>
    <w:multiLevelType w:val="multilevel"/>
    <w:tmpl w:val="4224ABAC"/>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F0261DA"/>
    <w:multiLevelType w:val="multilevel"/>
    <w:tmpl w:val="82C64F02"/>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358852EA"/>
    <w:multiLevelType w:val="multilevel"/>
    <w:tmpl w:val="404862F4"/>
    <w:styleLink w:val="WW8Num4"/>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3BCF2E1D"/>
    <w:multiLevelType w:val="multilevel"/>
    <w:tmpl w:val="75F0DD9A"/>
    <w:styleLink w:val="WW8Num1"/>
    <w:lvl w:ilvl="0">
      <w:start w:val="10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410C2E4F"/>
    <w:multiLevelType w:val="multilevel"/>
    <w:tmpl w:val="98AA39A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44703E1A"/>
    <w:multiLevelType w:val="multilevel"/>
    <w:tmpl w:val="5E0C6E9C"/>
    <w:styleLink w:val="WW8Num7"/>
    <w:lvl w:ilvl="0">
      <w:start w:val="1"/>
      <w:numFmt w:val="decimal"/>
      <w:lvlText w:val="%1."/>
      <w:lvlJc w:val="left"/>
      <w:rPr>
        <w:rFonts w:ascii="Tahoma" w:hAnsi="Tahoma" w:cs="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6ADE0C47"/>
    <w:multiLevelType w:val="multilevel"/>
    <w:tmpl w:val="50A66C08"/>
    <w:styleLink w:val="WW8Num2"/>
    <w:lvl w:ilvl="0">
      <w:start w:val="3"/>
      <w:numFmt w:val="decimal"/>
      <w:lvlText w:val="%1."/>
      <w:lvlJc w:val="left"/>
      <w:rPr>
        <w:rFonts w:ascii="Tahoma" w:hAnsi="Tahoma" w:cs="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6FF12E5D"/>
    <w:multiLevelType w:val="multilevel"/>
    <w:tmpl w:val="C78831E0"/>
    <w:styleLink w:val="WW8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6"/>
  </w:num>
  <w:num w:numId="3">
    <w:abstractNumId w:val="0"/>
  </w:num>
  <w:num w:numId="4">
    <w:abstractNumId w:val="2"/>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11FA5"/>
    <w:rsid w:val="006D76A4"/>
    <w:rsid w:val="00B1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eastAsia="SimSun, 宋体"/>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Footer">
    <w:name w:val="foot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styleId="Header">
    <w:name w:val="header"/>
    <w:basedOn w:val="Standard"/>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ahoma" w:hAnsi="Tahoma" w:cs="Tahoma"/>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eastAsia="SimSun, 宋体"/>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Footer">
    <w:name w:val="foot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styleId="Header">
    <w:name w:val="header"/>
    <w:basedOn w:val="Standard"/>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ahoma" w:hAnsi="Tahoma" w:cs="Tahoma"/>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Microsoft/Windows/Temporary%20Internet%20Files/Content.IE5/FLPTXMRE/Southwark.od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2339</Words>
  <Characters>13333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BRIDGEND COUNTY BOROUGH COUNCIL – MARKET POWERS</vt:lpstr>
    </vt:vector>
  </TitlesOfParts>
  <Company/>
  <LinksUpToDate>false</LinksUpToDate>
  <CharactersWithSpaces>15641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 – MARKET POWERS</dc:title>
  <dc:creator>Graham Wilson</dc:creator>
  <cp:lastModifiedBy>Joanne Needham</cp:lastModifiedBy>
  <cp:revision>2</cp:revision>
  <dcterms:created xsi:type="dcterms:W3CDTF">2017-03-01T09:11:00Z</dcterms:created>
  <dcterms:modified xsi:type="dcterms:W3CDTF">2017-03-01T09:11:00Z</dcterms:modified>
</cp:coreProperties>
</file>