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B984" w14:textId="0D39EFFC" w:rsidR="00503160" w:rsidRPr="00503160" w:rsidRDefault="00503160" w:rsidP="00503160">
      <w:pPr>
        <w:rPr>
          <w:b/>
          <w:bCs/>
          <w:sz w:val="22"/>
          <w:szCs w:val="24"/>
          <w:u w:val="single"/>
        </w:rPr>
      </w:pPr>
      <w:r w:rsidRPr="00503160">
        <w:rPr>
          <w:b/>
          <w:bCs/>
          <w:sz w:val="22"/>
          <w:szCs w:val="24"/>
          <w:u w:val="single"/>
        </w:rPr>
        <w:t>Towns Fund: Investment into Markets.</w:t>
      </w:r>
    </w:p>
    <w:p w14:paraId="02B84CA6" w14:textId="123E6D8C" w:rsidR="00503160" w:rsidRPr="00503160" w:rsidRDefault="00503160" w:rsidP="00503160">
      <w:pPr>
        <w:rPr>
          <w:sz w:val="22"/>
          <w:szCs w:val="24"/>
          <w:u w:val="single"/>
        </w:rPr>
      </w:pPr>
      <w:r>
        <w:rPr>
          <w:b/>
          <w:bCs/>
          <w:sz w:val="22"/>
          <w:szCs w:val="24"/>
          <w:u w:val="single"/>
        </w:rPr>
        <w:br/>
      </w:r>
      <w:r w:rsidR="00790356">
        <w:rPr>
          <w:sz w:val="22"/>
          <w:szCs w:val="24"/>
          <w:u w:val="single"/>
        </w:rPr>
        <w:t>Background</w:t>
      </w:r>
    </w:p>
    <w:p w14:paraId="509E08F9" w14:textId="1CCF9096" w:rsidR="00790356" w:rsidRDefault="00790356" w:rsidP="00503160">
      <w:pPr>
        <w:rPr>
          <w:sz w:val="22"/>
          <w:szCs w:val="24"/>
        </w:rPr>
      </w:pPr>
      <w:r>
        <w:rPr>
          <w:sz w:val="22"/>
          <w:szCs w:val="24"/>
        </w:rPr>
        <w:t xml:space="preserve">The Towns Fund </w:t>
      </w:r>
      <w:r w:rsidR="00D2639B">
        <w:rPr>
          <w:sz w:val="22"/>
          <w:szCs w:val="24"/>
        </w:rPr>
        <w:t>i</w:t>
      </w:r>
      <w:r>
        <w:rPr>
          <w:sz w:val="22"/>
          <w:szCs w:val="24"/>
        </w:rPr>
        <w:t>nvestment that this team has oversight of is made up of three components, all of the</w:t>
      </w:r>
      <w:r w:rsidR="006D5BA5">
        <w:rPr>
          <w:sz w:val="22"/>
          <w:szCs w:val="24"/>
        </w:rPr>
        <w:t xml:space="preserve"> following </w:t>
      </w:r>
      <w:r>
        <w:rPr>
          <w:sz w:val="22"/>
          <w:szCs w:val="24"/>
        </w:rPr>
        <w:t>have</w:t>
      </w:r>
      <w:r w:rsidR="006D5BA5">
        <w:rPr>
          <w:sz w:val="22"/>
          <w:szCs w:val="24"/>
        </w:rPr>
        <w:t xml:space="preserve"> intervention frameworks which allow investment into markets. </w:t>
      </w:r>
    </w:p>
    <w:p w14:paraId="3DA5EB91" w14:textId="77777777" w:rsidR="00790356" w:rsidRDefault="00503160" w:rsidP="00790356">
      <w:pPr>
        <w:pStyle w:val="ListParagraph"/>
        <w:numPr>
          <w:ilvl w:val="0"/>
          <w:numId w:val="2"/>
        </w:numPr>
        <w:rPr>
          <w:sz w:val="22"/>
          <w:szCs w:val="24"/>
        </w:rPr>
      </w:pPr>
      <w:r w:rsidRPr="00790356">
        <w:rPr>
          <w:sz w:val="22"/>
          <w:szCs w:val="24"/>
        </w:rPr>
        <w:t>Town Deals programme (£2.35bn, 101 places)</w:t>
      </w:r>
    </w:p>
    <w:p w14:paraId="2A1EBC46" w14:textId="288398BE" w:rsidR="00A04B60" w:rsidRDefault="00503160" w:rsidP="00A04B60">
      <w:pPr>
        <w:pStyle w:val="ListParagraph"/>
        <w:numPr>
          <w:ilvl w:val="0"/>
          <w:numId w:val="2"/>
        </w:numPr>
        <w:rPr>
          <w:sz w:val="22"/>
          <w:szCs w:val="24"/>
        </w:rPr>
      </w:pPr>
      <w:r w:rsidRPr="00790356">
        <w:rPr>
          <w:sz w:val="22"/>
          <w:szCs w:val="24"/>
        </w:rPr>
        <w:t>Future High Streets Fund competition (</w:t>
      </w:r>
      <w:r w:rsidR="001F7F12">
        <w:rPr>
          <w:sz w:val="22"/>
          <w:szCs w:val="24"/>
        </w:rPr>
        <w:t>&gt;</w:t>
      </w:r>
      <w:r w:rsidRPr="00790356">
        <w:rPr>
          <w:sz w:val="22"/>
          <w:szCs w:val="24"/>
        </w:rPr>
        <w:t>£</w:t>
      </w:r>
      <w:r w:rsidR="001F7F12">
        <w:rPr>
          <w:sz w:val="22"/>
          <w:szCs w:val="24"/>
        </w:rPr>
        <w:t>830</w:t>
      </w:r>
      <w:r w:rsidRPr="00790356">
        <w:rPr>
          <w:sz w:val="22"/>
          <w:szCs w:val="24"/>
        </w:rPr>
        <w:t>m, 72 places).</w:t>
      </w:r>
    </w:p>
    <w:p w14:paraId="32CB5976" w14:textId="47E2EAAB" w:rsidR="00DD27F4" w:rsidRDefault="00790356" w:rsidP="00A04B60">
      <w:pPr>
        <w:pStyle w:val="ListParagraph"/>
        <w:numPr>
          <w:ilvl w:val="0"/>
          <w:numId w:val="2"/>
        </w:numPr>
        <w:rPr>
          <w:sz w:val="22"/>
          <w:szCs w:val="24"/>
        </w:rPr>
      </w:pPr>
      <w:r w:rsidRPr="00A04B60">
        <w:rPr>
          <w:sz w:val="22"/>
          <w:szCs w:val="24"/>
        </w:rPr>
        <w:t xml:space="preserve">Build Back Better portion </w:t>
      </w:r>
      <w:r w:rsidR="00A04B60">
        <w:rPr>
          <w:sz w:val="22"/>
          <w:szCs w:val="24"/>
        </w:rPr>
        <w:t xml:space="preserve">or ‘accelerated funding’ </w:t>
      </w:r>
      <w:r w:rsidRPr="00A04B60">
        <w:rPr>
          <w:sz w:val="22"/>
          <w:szCs w:val="24"/>
        </w:rPr>
        <w:t>(£81.5m, 101 places).</w:t>
      </w:r>
    </w:p>
    <w:p w14:paraId="49644DDF" w14:textId="2DDA2D36" w:rsidR="006D52AF" w:rsidRPr="006D52AF" w:rsidRDefault="006D52AF" w:rsidP="00A35536">
      <w:pPr>
        <w:rPr>
          <w:sz w:val="22"/>
          <w:szCs w:val="24"/>
        </w:rPr>
      </w:pPr>
      <w:r>
        <w:rPr>
          <w:sz w:val="22"/>
          <w:szCs w:val="24"/>
        </w:rPr>
        <w:t xml:space="preserve">The </w:t>
      </w:r>
      <w:r w:rsidR="00B8517C">
        <w:rPr>
          <w:sz w:val="22"/>
          <w:szCs w:val="24"/>
        </w:rPr>
        <w:t>projects below</w:t>
      </w:r>
      <w:r w:rsidR="00F44605">
        <w:rPr>
          <w:sz w:val="22"/>
          <w:szCs w:val="24"/>
        </w:rPr>
        <w:t xml:space="preserve"> </w:t>
      </w:r>
      <w:r w:rsidR="00B8517C">
        <w:rPr>
          <w:sz w:val="22"/>
          <w:szCs w:val="24"/>
        </w:rPr>
        <w:t xml:space="preserve">broadly include </w:t>
      </w:r>
      <w:r w:rsidR="00A35536">
        <w:rPr>
          <w:sz w:val="22"/>
          <w:szCs w:val="24"/>
        </w:rPr>
        <w:t>m</w:t>
      </w:r>
      <w:r w:rsidR="00A35536" w:rsidRPr="00A35536">
        <w:rPr>
          <w:sz w:val="22"/>
          <w:szCs w:val="24"/>
        </w:rPr>
        <w:t>ultipurpose space</w:t>
      </w:r>
      <w:r w:rsidR="00A35536">
        <w:rPr>
          <w:sz w:val="22"/>
          <w:szCs w:val="24"/>
        </w:rPr>
        <w:t xml:space="preserve">s </w:t>
      </w:r>
      <w:r w:rsidR="00A35536" w:rsidRPr="00A35536">
        <w:rPr>
          <w:sz w:val="22"/>
          <w:szCs w:val="24"/>
        </w:rPr>
        <w:t>“for events and activities”</w:t>
      </w:r>
      <w:r w:rsidR="00926A96">
        <w:rPr>
          <w:sz w:val="22"/>
          <w:szCs w:val="24"/>
        </w:rPr>
        <w:t xml:space="preserve">, most of which have a market component. </w:t>
      </w:r>
      <w:r w:rsidR="00E426D4">
        <w:rPr>
          <w:sz w:val="22"/>
          <w:szCs w:val="24"/>
        </w:rPr>
        <w:t xml:space="preserve">Whilst they don’t all </w:t>
      </w:r>
      <w:r w:rsidR="00F44605">
        <w:rPr>
          <w:sz w:val="22"/>
          <w:szCs w:val="24"/>
        </w:rPr>
        <w:t xml:space="preserve">specifically </w:t>
      </w:r>
      <w:r w:rsidR="00E426D4">
        <w:rPr>
          <w:sz w:val="22"/>
          <w:szCs w:val="24"/>
        </w:rPr>
        <w:t xml:space="preserve">target </w:t>
      </w:r>
      <w:r w:rsidR="00F44605">
        <w:rPr>
          <w:sz w:val="22"/>
          <w:szCs w:val="24"/>
        </w:rPr>
        <w:t>market</w:t>
      </w:r>
      <w:r w:rsidR="00E426D4">
        <w:rPr>
          <w:sz w:val="22"/>
          <w:szCs w:val="24"/>
        </w:rPr>
        <w:t xml:space="preserve"> stalls</w:t>
      </w:r>
      <w:r w:rsidR="00F44605">
        <w:rPr>
          <w:sz w:val="22"/>
          <w:szCs w:val="24"/>
        </w:rPr>
        <w:t xml:space="preserve">- </w:t>
      </w:r>
      <w:r w:rsidR="00152259">
        <w:rPr>
          <w:sz w:val="22"/>
          <w:szCs w:val="24"/>
        </w:rPr>
        <w:t xml:space="preserve">they </w:t>
      </w:r>
      <w:r w:rsidR="00E426D4">
        <w:rPr>
          <w:sz w:val="22"/>
          <w:szCs w:val="24"/>
        </w:rPr>
        <w:t xml:space="preserve">include public realm improvements which cover </w:t>
      </w:r>
      <w:r w:rsidR="00F44605">
        <w:rPr>
          <w:sz w:val="22"/>
          <w:szCs w:val="24"/>
        </w:rPr>
        <w:t>new and existing</w:t>
      </w:r>
      <w:r w:rsidR="00A35536" w:rsidRPr="00A35536">
        <w:rPr>
          <w:sz w:val="22"/>
          <w:szCs w:val="24"/>
        </w:rPr>
        <w:t xml:space="preserve"> market </w:t>
      </w:r>
      <w:r w:rsidR="00F44605">
        <w:rPr>
          <w:sz w:val="22"/>
          <w:szCs w:val="24"/>
        </w:rPr>
        <w:t>offers</w:t>
      </w:r>
      <w:r w:rsidR="00A35536" w:rsidRPr="00A35536">
        <w:rPr>
          <w:sz w:val="22"/>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22"/>
        <w:gridCol w:w="2557"/>
        <w:gridCol w:w="5327"/>
      </w:tblGrid>
      <w:tr w:rsidR="00DD27F4" w14:paraId="19357866" w14:textId="77777777" w:rsidTr="00AE3C7B">
        <w:tc>
          <w:tcPr>
            <w:tcW w:w="10406" w:type="dxa"/>
            <w:gridSpan w:val="3"/>
            <w:tcBorders>
              <w:top w:val="single" w:sz="24" w:space="0" w:color="auto"/>
              <w:left w:val="single" w:sz="24" w:space="0" w:color="auto"/>
              <w:bottom w:val="single" w:sz="24" w:space="0" w:color="auto"/>
              <w:right w:val="single" w:sz="24" w:space="0" w:color="auto"/>
            </w:tcBorders>
          </w:tcPr>
          <w:p w14:paraId="2571C8EA" w14:textId="675C0345" w:rsidR="00DD27F4" w:rsidRDefault="00DD27F4" w:rsidP="003E7D52">
            <w:pPr>
              <w:jc w:val="center"/>
              <w:rPr>
                <w:b/>
                <w:bCs/>
                <w:sz w:val="22"/>
                <w:szCs w:val="24"/>
              </w:rPr>
            </w:pPr>
            <w:r>
              <w:rPr>
                <w:b/>
                <w:bCs/>
                <w:sz w:val="22"/>
                <w:szCs w:val="24"/>
              </w:rPr>
              <w:t xml:space="preserve">Town Deals </w:t>
            </w:r>
            <w:r w:rsidR="00A04B60">
              <w:rPr>
                <w:b/>
                <w:bCs/>
                <w:sz w:val="22"/>
                <w:szCs w:val="24"/>
              </w:rPr>
              <w:t>p</w:t>
            </w:r>
            <w:r>
              <w:rPr>
                <w:b/>
                <w:bCs/>
                <w:sz w:val="22"/>
                <w:szCs w:val="24"/>
              </w:rPr>
              <w:t>rogramme</w:t>
            </w:r>
          </w:p>
        </w:tc>
      </w:tr>
      <w:tr w:rsidR="00BC1950" w14:paraId="0FCE3628" w14:textId="77777777" w:rsidTr="00B64EBB">
        <w:tc>
          <w:tcPr>
            <w:tcW w:w="2522" w:type="dxa"/>
            <w:tcBorders>
              <w:top w:val="single" w:sz="24" w:space="0" w:color="auto"/>
            </w:tcBorders>
          </w:tcPr>
          <w:p w14:paraId="036A3726" w14:textId="4FE86F86" w:rsidR="00BC1950" w:rsidRPr="00862BB2" w:rsidRDefault="00EC0BD8" w:rsidP="003E7D52">
            <w:pPr>
              <w:rPr>
                <w:b/>
                <w:bCs/>
                <w:sz w:val="22"/>
                <w:szCs w:val="24"/>
              </w:rPr>
            </w:pPr>
            <w:r>
              <w:rPr>
                <w:b/>
                <w:bCs/>
                <w:sz w:val="22"/>
                <w:szCs w:val="24"/>
              </w:rPr>
              <w:t>Town Deal</w:t>
            </w:r>
          </w:p>
        </w:tc>
        <w:tc>
          <w:tcPr>
            <w:tcW w:w="2557" w:type="dxa"/>
            <w:tcBorders>
              <w:top w:val="single" w:sz="24" w:space="0" w:color="auto"/>
            </w:tcBorders>
          </w:tcPr>
          <w:p w14:paraId="1CD25A4A" w14:textId="77777777" w:rsidR="00BC1950" w:rsidRPr="00862BB2" w:rsidRDefault="00BC1950" w:rsidP="003E7D52">
            <w:pPr>
              <w:rPr>
                <w:b/>
                <w:bCs/>
                <w:sz w:val="22"/>
                <w:szCs w:val="24"/>
              </w:rPr>
            </w:pPr>
            <w:r>
              <w:rPr>
                <w:b/>
                <w:bCs/>
                <w:sz w:val="22"/>
                <w:szCs w:val="24"/>
              </w:rPr>
              <w:t>Project</w:t>
            </w:r>
          </w:p>
        </w:tc>
        <w:tc>
          <w:tcPr>
            <w:tcW w:w="5327" w:type="dxa"/>
            <w:tcBorders>
              <w:top w:val="single" w:sz="24" w:space="0" w:color="auto"/>
            </w:tcBorders>
          </w:tcPr>
          <w:p w14:paraId="4CDE862C" w14:textId="77777777" w:rsidR="00BC1950" w:rsidRPr="00862BB2" w:rsidRDefault="00BC1950" w:rsidP="003E7D52">
            <w:pPr>
              <w:rPr>
                <w:b/>
                <w:bCs/>
                <w:sz w:val="22"/>
                <w:szCs w:val="24"/>
              </w:rPr>
            </w:pPr>
            <w:r>
              <w:rPr>
                <w:b/>
                <w:bCs/>
                <w:sz w:val="22"/>
                <w:szCs w:val="24"/>
              </w:rPr>
              <w:t>Description</w:t>
            </w:r>
          </w:p>
        </w:tc>
      </w:tr>
      <w:tr w:rsidR="00BC1950" w14:paraId="5987C2CA" w14:textId="77777777" w:rsidTr="00B64EBB">
        <w:tc>
          <w:tcPr>
            <w:tcW w:w="2522" w:type="dxa"/>
          </w:tcPr>
          <w:p w14:paraId="75004CC8" w14:textId="0246C67A" w:rsidR="00BC1950" w:rsidRDefault="00565754" w:rsidP="003E7D52">
            <w:pPr>
              <w:rPr>
                <w:sz w:val="22"/>
                <w:szCs w:val="24"/>
              </w:rPr>
            </w:pPr>
            <w:r>
              <w:rPr>
                <w:sz w:val="22"/>
                <w:szCs w:val="24"/>
              </w:rPr>
              <w:t xml:space="preserve">Bolton </w:t>
            </w:r>
          </w:p>
        </w:tc>
        <w:tc>
          <w:tcPr>
            <w:tcW w:w="2557" w:type="dxa"/>
          </w:tcPr>
          <w:p w14:paraId="278E93F6" w14:textId="3F99D2D7" w:rsidR="00BC1950" w:rsidRDefault="00625F90" w:rsidP="003E7D52">
            <w:pPr>
              <w:rPr>
                <w:sz w:val="22"/>
                <w:szCs w:val="24"/>
              </w:rPr>
            </w:pPr>
            <w:r>
              <w:rPr>
                <w:sz w:val="22"/>
                <w:szCs w:val="24"/>
              </w:rPr>
              <w:t xml:space="preserve">Bolton Market Upgrades </w:t>
            </w:r>
          </w:p>
        </w:tc>
        <w:tc>
          <w:tcPr>
            <w:tcW w:w="5327" w:type="dxa"/>
          </w:tcPr>
          <w:p w14:paraId="23CF0F39" w14:textId="493018F4" w:rsidR="00BC1950" w:rsidRDefault="006A0672" w:rsidP="003E7D52">
            <w:pPr>
              <w:rPr>
                <w:sz w:val="22"/>
                <w:szCs w:val="24"/>
              </w:rPr>
            </w:pPr>
            <w:r w:rsidRPr="006A0672">
              <w:rPr>
                <w:sz w:val="22"/>
                <w:szCs w:val="24"/>
              </w:rPr>
              <w:t xml:space="preserve">Expansion of </w:t>
            </w:r>
            <w:r>
              <w:rPr>
                <w:sz w:val="22"/>
                <w:szCs w:val="24"/>
              </w:rPr>
              <w:t xml:space="preserve">Bolton </w:t>
            </w:r>
            <w:r w:rsidRPr="006A0672">
              <w:rPr>
                <w:sz w:val="22"/>
                <w:szCs w:val="24"/>
              </w:rPr>
              <w:t xml:space="preserve">market's outdoor </w:t>
            </w:r>
            <w:r>
              <w:rPr>
                <w:sz w:val="22"/>
                <w:szCs w:val="24"/>
              </w:rPr>
              <w:t>section,</w:t>
            </w:r>
            <w:r w:rsidRPr="006A0672">
              <w:rPr>
                <w:sz w:val="22"/>
                <w:szCs w:val="24"/>
              </w:rPr>
              <w:t xml:space="preserve"> regeneration of derelict units and improvements to the overall area.</w:t>
            </w:r>
          </w:p>
        </w:tc>
      </w:tr>
      <w:tr w:rsidR="00BC1950" w14:paraId="0B6B92C9" w14:textId="77777777" w:rsidTr="00B64EBB">
        <w:tc>
          <w:tcPr>
            <w:tcW w:w="2522" w:type="dxa"/>
          </w:tcPr>
          <w:p w14:paraId="4848AB5B" w14:textId="4B0F4C45" w:rsidR="00BC1950" w:rsidRDefault="001058EC" w:rsidP="003E7D52">
            <w:pPr>
              <w:rPr>
                <w:sz w:val="22"/>
                <w:szCs w:val="24"/>
              </w:rPr>
            </w:pPr>
            <w:r>
              <w:rPr>
                <w:sz w:val="22"/>
                <w:szCs w:val="24"/>
              </w:rPr>
              <w:t>Brighouse</w:t>
            </w:r>
          </w:p>
        </w:tc>
        <w:tc>
          <w:tcPr>
            <w:tcW w:w="2557" w:type="dxa"/>
          </w:tcPr>
          <w:p w14:paraId="26E29215" w14:textId="712D402D" w:rsidR="00BC1950" w:rsidRDefault="001058EC" w:rsidP="003E7D52">
            <w:pPr>
              <w:rPr>
                <w:sz w:val="22"/>
                <w:szCs w:val="24"/>
              </w:rPr>
            </w:pPr>
            <w:r>
              <w:rPr>
                <w:sz w:val="22"/>
                <w:szCs w:val="24"/>
              </w:rPr>
              <w:t>Brighouse Market Revitalisation</w:t>
            </w:r>
          </w:p>
        </w:tc>
        <w:tc>
          <w:tcPr>
            <w:tcW w:w="5327" w:type="dxa"/>
          </w:tcPr>
          <w:p w14:paraId="5D0B092B" w14:textId="76A162AE" w:rsidR="00BC1950" w:rsidRDefault="006D1C49" w:rsidP="003E7D52">
            <w:pPr>
              <w:rPr>
                <w:sz w:val="22"/>
                <w:szCs w:val="24"/>
              </w:rPr>
            </w:pPr>
            <w:r>
              <w:rPr>
                <w:sz w:val="22"/>
                <w:szCs w:val="24"/>
              </w:rPr>
              <w:t xml:space="preserve">Investment into the </w:t>
            </w:r>
            <w:r w:rsidRPr="006D1C49">
              <w:rPr>
                <w:sz w:val="22"/>
                <w:szCs w:val="24"/>
              </w:rPr>
              <w:t>market to provide a</w:t>
            </w:r>
            <w:r>
              <w:rPr>
                <w:sz w:val="22"/>
                <w:szCs w:val="24"/>
              </w:rPr>
              <w:t xml:space="preserve"> revitalised</w:t>
            </w:r>
            <w:r w:rsidRPr="006D1C49">
              <w:rPr>
                <w:sz w:val="22"/>
                <w:szCs w:val="24"/>
              </w:rPr>
              <w:t xml:space="preserve"> 21st Century offer</w:t>
            </w:r>
            <w:r>
              <w:rPr>
                <w:sz w:val="22"/>
                <w:szCs w:val="24"/>
              </w:rPr>
              <w:t xml:space="preserve">. </w:t>
            </w:r>
          </w:p>
        </w:tc>
      </w:tr>
      <w:tr w:rsidR="00BC1950" w14:paraId="617ECD79" w14:textId="77777777" w:rsidTr="00B64EBB">
        <w:tc>
          <w:tcPr>
            <w:tcW w:w="2522" w:type="dxa"/>
          </w:tcPr>
          <w:p w14:paraId="38EAEC88" w14:textId="6C2A392B" w:rsidR="00BC1950" w:rsidRDefault="005610E3" w:rsidP="003E7D52">
            <w:pPr>
              <w:rPr>
                <w:sz w:val="22"/>
                <w:szCs w:val="24"/>
              </w:rPr>
            </w:pPr>
            <w:r>
              <w:rPr>
                <w:sz w:val="22"/>
                <w:szCs w:val="24"/>
              </w:rPr>
              <w:t xml:space="preserve">Carlisle </w:t>
            </w:r>
          </w:p>
        </w:tc>
        <w:tc>
          <w:tcPr>
            <w:tcW w:w="2557" w:type="dxa"/>
          </w:tcPr>
          <w:p w14:paraId="2780EA22" w14:textId="5E548C0A" w:rsidR="00BC1950" w:rsidRDefault="005610E3" w:rsidP="003E7D52">
            <w:pPr>
              <w:rPr>
                <w:sz w:val="22"/>
                <w:szCs w:val="24"/>
              </w:rPr>
            </w:pPr>
            <w:r>
              <w:rPr>
                <w:sz w:val="22"/>
                <w:szCs w:val="24"/>
              </w:rPr>
              <w:t>Carlisle Market Hall</w:t>
            </w:r>
          </w:p>
        </w:tc>
        <w:tc>
          <w:tcPr>
            <w:tcW w:w="5327" w:type="dxa"/>
          </w:tcPr>
          <w:p w14:paraId="17A2F432" w14:textId="6AFB357A" w:rsidR="00BC1950" w:rsidRDefault="00E45595" w:rsidP="003E7D52">
            <w:pPr>
              <w:rPr>
                <w:sz w:val="22"/>
                <w:szCs w:val="24"/>
              </w:rPr>
            </w:pPr>
            <w:r w:rsidRPr="00E45595">
              <w:rPr>
                <w:sz w:val="22"/>
                <w:szCs w:val="24"/>
              </w:rPr>
              <w:t>Refurbishing a unique Grade II listed market hall. Expected to deliver 2350sqm of repurposed floorspace, accommodate 60 businesses and attract 20,800 visitors to the area.​</w:t>
            </w:r>
          </w:p>
        </w:tc>
      </w:tr>
      <w:tr w:rsidR="00910A68" w14:paraId="07B3FB8B" w14:textId="77777777" w:rsidTr="00B64EBB">
        <w:tc>
          <w:tcPr>
            <w:tcW w:w="2522" w:type="dxa"/>
          </w:tcPr>
          <w:p w14:paraId="467E0FA6" w14:textId="0525A042" w:rsidR="00910A68" w:rsidRDefault="00910A68" w:rsidP="003E7D52">
            <w:pPr>
              <w:rPr>
                <w:sz w:val="22"/>
                <w:szCs w:val="24"/>
              </w:rPr>
            </w:pPr>
            <w:r>
              <w:rPr>
                <w:sz w:val="22"/>
                <w:szCs w:val="24"/>
              </w:rPr>
              <w:t>Clay Cross</w:t>
            </w:r>
          </w:p>
        </w:tc>
        <w:tc>
          <w:tcPr>
            <w:tcW w:w="2557" w:type="dxa"/>
          </w:tcPr>
          <w:p w14:paraId="6D2B1FF5" w14:textId="3547CCA3" w:rsidR="00910A68" w:rsidRDefault="00BA74EE" w:rsidP="003E7D52">
            <w:pPr>
              <w:rPr>
                <w:sz w:val="22"/>
                <w:szCs w:val="24"/>
              </w:rPr>
            </w:pPr>
            <w:r>
              <w:rPr>
                <w:sz w:val="22"/>
                <w:szCs w:val="24"/>
              </w:rPr>
              <w:t>Market Street Regeneration</w:t>
            </w:r>
          </w:p>
        </w:tc>
        <w:tc>
          <w:tcPr>
            <w:tcW w:w="5327" w:type="dxa"/>
          </w:tcPr>
          <w:p w14:paraId="2A75E3E1" w14:textId="02D36B22" w:rsidR="00910A68" w:rsidRPr="00E45595" w:rsidRDefault="00BA74EE" w:rsidP="003E7D52">
            <w:pPr>
              <w:rPr>
                <w:sz w:val="22"/>
                <w:szCs w:val="24"/>
              </w:rPr>
            </w:pPr>
            <w:r w:rsidRPr="00BA74EE">
              <w:rPr>
                <w:sz w:val="22"/>
                <w:szCs w:val="24"/>
              </w:rPr>
              <w:t>Phase 1 of a mixed-use redevelopment within the town centre, including the creation</w:t>
            </w:r>
            <w:r>
              <w:rPr>
                <w:sz w:val="22"/>
                <w:szCs w:val="24"/>
              </w:rPr>
              <w:t xml:space="preserve"> </w:t>
            </w:r>
            <w:r w:rsidRPr="00BA74EE">
              <w:rPr>
                <w:sz w:val="22"/>
                <w:szCs w:val="24"/>
              </w:rPr>
              <w:t>of a town square and events spac</w:t>
            </w:r>
            <w:r>
              <w:rPr>
                <w:sz w:val="22"/>
                <w:szCs w:val="24"/>
              </w:rPr>
              <w:t>e p</w:t>
            </w:r>
            <w:r w:rsidRPr="00BA74EE">
              <w:rPr>
                <w:sz w:val="22"/>
                <w:szCs w:val="24"/>
              </w:rPr>
              <w:t>roviding 3,100sqm of commercial space</w:t>
            </w:r>
            <w:r>
              <w:rPr>
                <w:sz w:val="22"/>
                <w:szCs w:val="24"/>
              </w:rPr>
              <w:t xml:space="preserve">. </w:t>
            </w:r>
          </w:p>
        </w:tc>
      </w:tr>
      <w:tr w:rsidR="00BC1950" w14:paraId="54DA025E" w14:textId="77777777" w:rsidTr="00B64EBB">
        <w:tc>
          <w:tcPr>
            <w:tcW w:w="2522" w:type="dxa"/>
          </w:tcPr>
          <w:p w14:paraId="589D7458" w14:textId="32EB3202" w:rsidR="00BC1950" w:rsidRDefault="00FB13EB" w:rsidP="003E7D52">
            <w:pPr>
              <w:rPr>
                <w:sz w:val="22"/>
                <w:szCs w:val="24"/>
              </w:rPr>
            </w:pPr>
            <w:r>
              <w:rPr>
                <w:sz w:val="22"/>
                <w:szCs w:val="24"/>
              </w:rPr>
              <w:t>Darwen</w:t>
            </w:r>
          </w:p>
        </w:tc>
        <w:tc>
          <w:tcPr>
            <w:tcW w:w="2557" w:type="dxa"/>
          </w:tcPr>
          <w:p w14:paraId="2B85488F" w14:textId="1612049E" w:rsidR="00BC1950" w:rsidRDefault="00FB13EB" w:rsidP="003E7D52">
            <w:pPr>
              <w:rPr>
                <w:sz w:val="22"/>
                <w:szCs w:val="24"/>
              </w:rPr>
            </w:pPr>
            <w:r>
              <w:rPr>
                <w:sz w:val="22"/>
                <w:szCs w:val="24"/>
              </w:rPr>
              <w:t>Town Centre Core</w:t>
            </w:r>
          </w:p>
        </w:tc>
        <w:tc>
          <w:tcPr>
            <w:tcW w:w="5327" w:type="dxa"/>
          </w:tcPr>
          <w:p w14:paraId="333D61B4" w14:textId="19FD39F9" w:rsidR="00BC1950" w:rsidRDefault="007667A2" w:rsidP="003E7D52">
            <w:pPr>
              <w:rPr>
                <w:sz w:val="22"/>
                <w:szCs w:val="24"/>
              </w:rPr>
            </w:pPr>
            <w:r>
              <w:rPr>
                <w:sz w:val="22"/>
                <w:szCs w:val="24"/>
              </w:rPr>
              <w:t>See</w:t>
            </w:r>
            <w:r w:rsidRPr="007667A2">
              <w:rPr>
                <w:sz w:val="22"/>
                <w:szCs w:val="24"/>
              </w:rPr>
              <w:t xml:space="preserve">ks to revive </w:t>
            </w:r>
            <w:r>
              <w:rPr>
                <w:sz w:val="22"/>
                <w:szCs w:val="24"/>
              </w:rPr>
              <w:t xml:space="preserve">and </w:t>
            </w:r>
            <w:r w:rsidRPr="007667A2">
              <w:rPr>
                <w:sz w:val="22"/>
                <w:szCs w:val="24"/>
              </w:rPr>
              <w:t>restore Darwen as a modern market town</w:t>
            </w:r>
            <w:r w:rsidR="00604DC9">
              <w:rPr>
                <w:sz w:val="22"/>
                <w:szCs w:val="24"/>
              </w:rPr>
              <w:t xml:space="preserve">, </w:t>
            </w:r>
            <w:r w:rsidR="00604DC9" w:rsidRPr="00604DC9">
              <w:rPr>
                <w:sz w:val="22"/>
                <w:szCs w:val="24"/>
              </w:rPr>
              <w:t>including refurbishing and repurposing the Market Hall</w:t>
            </w:r>
            <w:r w:rsidR="00604DC9">
              <w:rPr>
                <w:sz w:val="22"/>
                <w:szCs w:val="24"/>
              </w:rPr>
              <w:t xml:space="preserve">. </w:t>
            </w:r>
          </w:p>
        </w:tc>
      </w:tr>
      <w:tr w:rsidR="00BC1950" w14:paraId="0587A89B" w14:textId="77777777" w:rsidTr="00B64EBB">
        <w:tc>
          <w:tcPr>
            <w:tcW w:w="2522" w:type="dxa"/>
          </w:tcPr>
          <w:p w14:paraId="4A99B108" w14:textId="685CCA43" w:rsidR="00BC1950" w:rsidRDefault="00C06404" w:rsidP="003E7D52">
            <w:pPr>
              <w:rPr>
                <w:sz w:val="22"/>
                <w:szCs w:val="24"/>
              </w:rPr>
            </w:pPr>
            <w:r>
              <w:rPr>
                <w:sz w:val="22"/>
                <w:szCs w:val="24"/>
              </w:rPr>
              <w:t>Dewsbury</w:t>
            </w:r>
          </w:p>
        </w:tc>
        <w:tc>
          <w:tcPr>
            <w:tcW w:w="2557" w:type="dxa"/>
          </w:tcPr>
          <w:p w14:paraId="0529546E" w14:textId="1B327734" w:rsidR="00BC1950" w:rsidRDefault="00C06404" w:rsidP="003E7D52">
            <w:pPr>
              <w:rPr>
                <w:sz w:val="22"/>
                <w:szCs w:val="24"/>
              </w:rPr>
            </w:pPr>
            <w:r>
              <w:rPr>
                <w:sz w:val="22"/>
                <w:szCs w:val="24"/>
              </w:rPr>
              <w:t>Dewsbury Market</w:t>
            </w:r>
          </w:p>
        </w:tc>
        <w:tc>
          <w:tcPr>
            <w:tcW w:w="5327" w:type="dxa"/>
          </w:tcPr>
          <w:p w14:paraId="1D98AF3E" w14:textId="128F8362" w:rsidR="00BC1950" w:rsidRDefault="000B7645" w:rsidP="003E7D52">
            <w:pPr>
              <w:rPr>
                <w:sz w:val="22"/>
                <w:szCs w:val="24"/>
              </w:rPr>
            </w:pPr>
            <w:r w:rsidRPr="000B7645">
              <w:rPr>
                <w:sz w:val="22"/>
                <w:szCs w:val="24"/>
              </w:rPr>
              <w:t>The Market will undergo a ‘root and branch’ change in order to create a model market</w:t>
            </w:r>
          </w:p>
        </w:tc>
      </w:tr>
      <w:tr w:rsidR="00BC1950" w14:paraId="7741B0EE" w14:textId="77777777" w:rsidTr="00B64EBB">
        <w:tc>
          <w:tcPr>
            <w:tcW w:w="2522" w:type="dxa"/>
          </w:tcPr>
          <w:p w14:paraId="405BF5EF" w14:textId="2401BF10" w:rsidR="00BC1950" w:rsidRDefault="00012A91" w:rsidP="003E7D52">
            <w:pPr>
              <w:rPr>
                <w:sz w:val="22"/>
                <w:szCs w:val="24"/>
              </w:rPr>
            </w:pPr>
            <w:r>
              <w:rPr>
                <w:sz w:val="22"/>
                <w:szCs w:val="24"/>
              </w:rPr>
              <w:t>Goole</w:t>
            </w:r>
          </w:p>
        </w:tc>
        <w:tc>
          <w:tcPr>
            <w:tcW w:w="2557" w:type="dxa"/>
          </w:tcPr>
          <w:p w14:paraId="22F6B16F" w14:textId="27358CC6" w:rsidR="00BC1950" w:rsidRDefault="007F326B" w:rsidP="003E7D52">
            <w:pPr>
              <w:rPr>
                <w:sz w:val="22"/>
                <w:szCs w:val="24"/>
              </w:rPr>
            </w:pPr>
            <w:r>
              <w:rPr>
                <w:sz w:val="22"/>
                <w:szCs w:val="24"/>
              </w:rPr>
              <w:t>Market Hall Reinvention</w:t>
            </w:r>
          </w:p>
        </w:tc>
        <w:tc>
          <w:tcPr>
            <w:tcW w:w="5327" w:type="dxa"/>
          </w:tcPr>
          <w:p w14:paraId="6D01C078" w14:textId="0DFFF908" w:rsidR="00BC1950" w:rsidRDefault="007F326B" w:rsidP="003E7D52">
            <w:pPr>
              <w:rPr>
                <w:sz w:val="22"/>
                <w:szCs w:val="24"/>
              </w:rPr>
            </w:pPr>
            <w:r w:rsidRPr="007F326B">
              <w:rPr>
                <w:sz w:val="22"/>
                <w:szCs w:val="24"/>
              </w:rPr>
              <w:t>Refurbishment of a high profile and architecturally impressive building to create a flexible community and cultural space.</w:t>
            </w:r>
          </w:p>
        </w:tc>
      </w:tr>
      <w:tr w:rsidR="002366C6" w14:paraId="743C5FD5" w14:textId="77777777" w:rsidTr="00B64EBB">
        <w:tc>
          <w:tcPr>
            <w:tcW w:w="2522" w:type="dxa"/>
          </w:tcPr>
          <w:p w14:paraId="3C151B9C" w14:textId="7155BBB8" w:rsidR="002366C6" w:rsidRDefault="006265D7" w:rsidP="003E7D52">
            <w:pPr>
              <w:rPr>
                <w:sz w:val="22"/>
                <w:szCs w:val="24"/>
              </w:rPr>
            </w:pPr>
            <w:r>
              <w:rPr>
                <w:sz w:val="22"/>
                <w:szCs w:val="24"/>
              </w:rPr>
              <w:t>Hastings</w:t>
            </w:r>
          </w:p>
        </w:tc>
        <w:tc>
          <w:tcPr>
            <w:tcW w:w="2557" w:type="dxa"/>
          </w:tcPr>
          <w:p w14:paraId="10D0FFD9" w14:textId="7227149A" w:rsidR="002366C6" w:rsidRDefault="00CD2166" w:rsidP="003E7D52">
            <w:pPr>
              <w:rPr>
                <w:sz w:val="22"/>
                <w:szCs w:val="24"/>
              </w:rPr>
            </w:pPr>
            <w:r w:rsidRPr="00CD2166">
              <w:rPr>
                <w:sz w:val="22"/>
                <w:szCs w:val="24"/>
              </w:rPr>
              <w:t>Town Centre Public Realm &amp; Green Connections</w:t>
            </w:r>
          </w:p>
        </w:tc>
        <w:tc>
          <w:tcPr>
            <w:tcW w:w="5327" w:type="dxa"/>
          </w:tcPr>
          <w:p w14:paraId="3CF3E8F2" w14:textId="2D1F578D" w:rsidR="002366C6" w:rsidRPr="007F326B" w:rsidRDefault="00CD2166" w:rsidP="003E7D52">
            <w:pPr>
              <w:rPr>
                <w:sz w:val="22"/>
                <w:szCs w:val="24"/>
              </w:rPr>
            </w:pPr>
            <w:r w:rsidRPr="00CD2166">
              <w:rPr>
                <w:sz w:val="22"/>
                <w:szCs w:val="24"/>
              </w:rPr>
              <w:t>Transforming town centre public realm, to inspire and engage locals, promote wellbeing and infrastructure for markets and events</w:t>
            </w:r>
            <w:r>
              <w:rPr>
                <w:sz w:val="22"/>
                <w:szCs w:val="24"/>
              </w:rPr>
              <w:t xml:space="preserve">. </w:t>
            </w:r>
          </w:p>
        </w:tc>
      </w:tr>
      <w:tr w:rsidR="002366C6" w14:paraId="5C944E7A" w14:textId="77777777" w:rsidTr="00B64EBB">
        <w:tc>
          <w:tcPr>
            <w:tcW w:w="2522" w:type="dxa"/>
          </w:tcPr>
          <w:p w14:paraId="04BA4B0C" w14:textId="37C6A903" w:rsidR="002366C6" w:rsidRDefault="004D79FE" w:rsidP="003E7D52">
            <w:pPr>
              <w:rPr>
                <w:sz w:val="22"/>
                <w:szCs w:val="24"/>
              </w:rPr>
            </w:pPr>
            <w:r>
              <w:rPr>
                <w:sz w:val="22"/>
                <w:szCs w:val="24"/>
              </w:rPr>
              <w:t>Leyland</w:t>
            </w:r>
          </w:p>
        </w:tc>
        <w:tc>
          <w:tcPr>
            <w:tcW w:w="2557" w:type="dxa"/>
          </w:tcPr>
          <w:p w14:paraId="79DDB025" w14:textId="6E505CF2" w:rsidR="002366C6" w:rsidRDefault="004D79FE" w:rsidP="003E7D52">
            <w:pPr>
              <w:rPr>
                <w:sz w:val="22"/>
                <w:szCs w:val="24"/>
              </w:rPr>
            </w:pPr>
            <w:r>
              <w:rPr>
                <w:sz w:val="22"/>
                <w:szCs w:val="24"/>
              </w:rPr>
              <w:t xml:space="preserve">Market Regeneration </w:t>
            </w:r>
          </w:p>
        </w:tc>
        <w:tc>
          <w:tcPr>
            <w:tcW w:w="5327" w:type="dxa"/>
          </w:tcPr>
          <w:p w14:paraId="48BB82C3" w14:textId="6A72CA19" w:rsidR="002366C6" w:rsidRPr="007F326B" w:rsidRDefault="00A96E81" w:rsidP="00B9416F">
            <w:pPr>
              <w:rPr>
                <w:sz w:val="22"/>
                <w:szCs w:val="24"/>
              </w:rPr>
            </w:pPr>
            <w:r>
              <w:rPr>
                <w:sz w:val="22"/>
                <w:szCs w:val="24"/>
              </w:rPr>
              <w:t>R</w:t>
            </w:r>
            <w:r w:rsidR="00B9416F" w:rsidRPr="00B9416F">
              <w:rPr>
                <w:sz w:val="22"/>
                <w:szCs w:val="24"/>
              </w:rPr>
              <w:t>efurbish the interior of the market building</w:t>
            </w:r>
            <w:r>
              <w:rPr>
                <w:sz w:val="22"/>
                <w:szCs w:val="24"/>
              </w:rPr>
              <w:t xml:space="preserve"> and </w:t>
            </w:r>
            <w:r w:rsidR="00B9416F" w:rsidRPr="00B9416F">
              <w:rPr>
                <w:sz w:val="22"/>
                <w:szCs w:val="24"/>
              </w:rPr>
              <w:t xml:space="preserve">expand the market facility creating new external stalls to wrap the market building and have a direct relationship to a new market square. </w:t>
            </w:r>
          </w:p>
        </w:tc>
      </w:tr>
      <w:tr w:rsidR="002366C6" w14:paraId="46DE8F48" w14:textId="77777777" w:rsidTr="00B64EBB">
        <w:tc>
          <w:tcPr>
            <w:tcW w:w="2522" w:type="dxa"/>
          </w:tcPr>
          <w:p w14:paraId="1696340F" w14:textId="514F75D9" w:rsidR="002366C6" w:rsidRDefault="00FE044D" w:rsidP="003E7D52">
            <w:pPr>
              <w:rPr>
                <w:sz w:val="22"/>
                <w:szCs w:val="24"/>
              </w:rPr>
            </w:pPr>
            <w:r>
              <w:rPr>
                <w:sz w:val="22"/>
                <w:szCs w:val="24"/>
              </w:rPr>
              <w:t>Lincoln</w:t>
            </w:r>
          </w:p>
        </w:tc>
        <w:tc>
          <w:tcPr>
            <w:tcW w:w="2557" w:type="dxa"/>
          </w:tcPr>
          <w:p w14:paraId="1B57D1E8" w14:textId="27D0772E" w:rsidR="002366C6" w:rsidRDefault="00FE044D" w:rsidP="003E7D52">
            <w:pPr>
              <w:rPr>
                <w:sz w:val="22"/>
                <w:szCs w:val="24"/>
              </w:rPr>
            </w:pPr>
            <w:r>
              <w:rPr>
                <w:sz w:val="22"/>
                <w:szCs w:val="24"/>
              </w:rPr>
              <w:t>Central Market and Vibran</w:t>
            </w:r>
            <w:r w:rsidR="00F75117">
              <w:rPr>
                <w:sz w:val="22"/>
                <w:szCs w:val="24"/>
              </w:rPr>
              <w:t xml:space="preserve">t Public Realm </w:t>
            </w:r>
          </w:p>
        </w:tc>
        <w:tc>
          <w:tcPr>
            <w:tcW w:w="5327" w:type="dxa"/>
          </w:tcPr>
          <w:p w14:paraId="131C7C70" w14:textId="6FFE331C" w:rsidR="002366C6" w:rsidRPr="007F326B" w:rsidRDefault="00883DE6" w:rsidP="003E7D52">
            <w:pPr>
              <w:rPr>
                <w:sz w:val="22"/>
                <w:szCs w:val="24"/>
              </w:rPr>
            </w:pPr>
            <w:r>
              <w:rPr>
                <w:sz w:val="22"/>
                <w:szCs w:val="24"/>
              </w:rPr>
              <w:t>R</w:t>
            </w:r>
            <w:r w:rsidRPr="00883DE6">
              <w:rPr>
                <w:sz w:val="22"/>
                <w:szCs w:val="24"/>
              </w:rPr>
              <w:t>estore and repurpose the Grade II listed Central Market Building within Lincoln City Centre to create a modern and diversified market offer.</w:t>
            </w:r>
          </w:p>
        </w:tc>
      </w:tr>
      <w:tr w:rsidR="001E4D73" w14:paraId="290DE8F5" w14:textId="77777777" w:rsidTr="00B64EBB">
        <w:tc>
          <w:tcPr>
            <w:tcW w:w="2522" w:type="dxa"/>
          </w:tcPr>
          <w:p w14:paraId="2E761986" w14:textId="1BC49BFD" w:rsidR="001E4D73" w:rsidRDefault="001E4D73" w:rsidP="003E7D52">
            <w:pPr>
              <w:rPr>
                <w:sz w:val="22"/>
                <w:szCs w:val="24"/>
              </w:rPr>
            </w:pPr>
            <w:r>
              <w:rPr>
                <w:sz w:val="22"/>
                <w:szCs w:val="24"/>
              </w:rPr>
              <w:t>Oldham</w:t>
            </w:r>
          </w:p>
        </w:tc>
        <w:tc>
          <w:tcPr>
            <w:tcW w:w="2557" w:type="dxa"/>
          </w:tcPr>
          <w:p w14:paraId="03BDE6FA" w14:textId="173268CC" w:rsidR="001E4D73" w:rsidRDefault="001E4D73" w:rsidP="003E7D52">
            <w:pPr>
              <w:rPr>
                <w:sz w:val="22"/>
                <w:szCs w:val="24"/>
              </w:rPr>
            </w:pPr>
            <w:r>
              <w:rPr>
                <w:sz w:val="22"/>
                <w:szCs w:val="24"/>
              </w:rPr>
              <w:t>Relocati</w:t>
            </w:r>
            <w:r w:rsidR="00D00D61">
              <w:rPr>
                <w:sz w:val="22"/>
                <w:szCs w:val="24"/>
              </w:rPr>
              <w:t xml:space="preserve">on of Tommyfield Market </w:t>
            </w:r>
          </w:p>
        </w:tc>
        <w:tc>
          <w:tcPr>
            <w:tcW w:w="5327" w:type="dxa"/>
          </w:tcPr>
          <w:p w14:paraId="2752A843" w14:textId="3C154630" w:rsidR="001E4D73" w:rsidRDefault="00D00D61" w:rsidP="003E7D52">
            <w:pPr>
              <w:rPr>
                <w:sz w:val="22"/>
                <w:szCs w:val="24"/>
              </w:rPr>
            </w:pPr>
            <w:r w:rsidRPr="00D00D61">
              <w:rPr>
                <w:sz w:val="22"/>
                <w:szCs w:val="24"/>
              </w:rPr>
              <w:t>Relocating the Tommyfield Market from a space which no longer meets it requirements to a new, purpose-built facility in the centre of Oldham, located in the existing Spindles shopping centre.</w:t>
            </w:r>
          </w:p>
        </w:tc>
      </w:tr>
      <w:tr w:rsidR="001E4D73" w14:paraId="08CC2F6D" w14:textId="77777777" w:rsidTr="00B64EBB">
        <w:tc>
          <w:tcPr>
            <w:tcW w:w="2522" w:type="dxa"/>
          </w:tcPr>
          <w:p w14:paraId="7D41D475" w14:textId="1B6DDA94" w:rsidR="001E4D73" w:rsidRDefault="00D8217B" w:rsidP="003E7D52">
            <w:pPr>
              <w:rPr>
                <w:sz w:val="22"/>
                <w:szCs w:val="24"/>
              </w:rPr>
            </w:pPr>
            <w:r>
              <w:rPr>
                <w:sz w:val="22"/>
                <w:szCs w:val="24"/>
              </w:rPr>
              <w:t>Penzance</w:t>
            </w:r>
          </w:p>
        </w:tc>
        <w:tc>
          <w:tcPr>
            <w:tcW w:w="2557" w:type="dxa"/>
          </w:tcPr>
          <w:p w14:paraId="61808D01" w14:textId="07DCEDC9" w:rsidR="001E4D73" w:rsidRDefault="00660147" w:rsidP="003E7D52">
            <w:pPr>
              <w:rPr>
                <w:sz w:val="22"/>
                <w:szCs w:val="24"/>
              </w:rPr>
            </w:pPr>
            <w:r>
              <w:rPr>
                <w:sz w:val="22"/>
                <w:szCs w:val="24"/>
              </w:rPr>
              <w:t>Market House</w:t>
            </w:r>
          </w:p>
        </w:tc>
        <w:tc>
          <w:tcPr>
            <w:tcW w:w="5327" w:type="dxa"/>
          </w:tcPr>
          <w:p w14:paraId="1BAE4CFC" w14:textId="716D4DF2" w:rsidR="001E4D73" w:rsidRDefault="00660147" w:rsidP="006B244E">
            <w:pPr>
              <w:rPr>
                <w:sz w:val="22"/>
                <w:szCs w:val="24"/>
              </w:rPr>
            </w:pPr>
            <w:r w:rsidRPr="00660147">
              <w:rPr>
                <w:sz w:val="22"/>
                <w:szCs w:val="24"/>
              </w:rPr>
              <w:t>The purchase and full renovation of a prominent high-street Grade 1 listed building, bringing a mostly redundant building back into use as multi-purpose town centre venue</w:t>
            </w:r>
            <w:r w:rsidR="006B244E">
              <w:rPr>
                <w:sz w:val="22"/>
                <w:szCs w:val="24"/>
              </w:rPr>
              <w:t xml:space="preserve">, </w:t>
            </w:r>
            <w:r w:rsidR="006B244E" w:rsidRPr="006B244E">
              <w:rPr>
                <w:sz w:val="22"/>
                <w:szCs w:val="24"/>
              </w:rPr>
              <w:t>providing</w:t>
            </w:r>
            <w:r w:rsidR="006B244E">
              <w:rPr>
                <w:sz w:val="22"/>
                <w:szCs w:val="24"/>
              </w:rPr>
              <w:t xml:space="preserve"> an</w:t>
            </w:r>
            <w:r w:rsidR="006B244E" w:rsidRPr="006B244E">
              <w:rPr>
                <w:sz w:val="22"/>
                <w:szCs w:val="24"/>
              </w:rPr>
              <w:t xml:space="preserve"> indoor market and event space</w:t>
            </w:r>
            <w:r w:rsidR="006B244E">
              <w:rPr>
                <w:sz w:val="22"/>
                <w:szCs w:val="24"/>
              </w:rPr>
              <w:t xml:space="preserve">. </w:t>
            </w:r>
          </w:p>
        </w:tc>
      </w:tr>
      <w:tr w:rsidR="001E4D73" w14:paraId="5FF206CB" w14:textId="77777777" w:rsidTr="00B64EBB">
        <w:tc>
          <w:tcPr>
            <w:tcW w:w="2522" w:type="dxa"/>
          </w:tcPr>
          <w:p w14:paraId="1F120A4E" w14:textId="358EC875" w:rsidR="001E4D73" w:rsidRDefault="009F322A" w:rsidP="003E7D52">
            <w:pPr>
              <w:rPr>
                <w:sz w:val="22"/>
                <w:szCs w:val="24"/>
              </w:rPr>
            </w:pPr>
            <w:r>
              <w:rPr>
                <w:sz w:val="22"/>
                <w:szCs w:val="24"/>
              </w:rPr>
              <w:t xml:space="preserve">Stapleford </w:t>
            </w:r>
          </w:p>
        </w:tc>
        <w:tc>
          <w:tcPr>
            <w:tcW w:w="2557" w:type="dxa"/>
          </w:tcPr>
          <w:p w14:paraId="12220358" w14:textId="3EE815CE" w:rsidR="001E4D73" w:rsidRDefault="00BA0E4D" w:rsidP="003E7D52">
            <w:pPr>
              <w:rPr>
                <w:sz w:val="22"/>
                <w:szCs w:val="24"/>
              </w:rPr>
            </w:pPr>
            <w:r>
              <w:rPr>
                <w:sz w:val="22"/>
                <w:szCs w:val="24"/>
              </w:rPr>
              <w:t>Town Centre Enterprise development</w:t>
            </w:r>
          </w:p>
        </w:tc>
        <w:tc>
          <w:tcPr>
            <w:tcW w:w="5327" w:type="dxa"/>
          </w:tcPr>
          <w:p w14:paraId="43AE6D99" w14:textId="77777777" w:rsidR="001E4D73" w:rsidRDefault="001E0BD2" w:rsidP="003E7D52">
            <w:pPr>
              <w:rPr>
                <w:sz w:val="22"/>
                <w:szCs w:val="24"/>
              </w:rPr>
            </w:pPr>
            <w:r w:rsidRPr="001E0BD2">
              <w:rPr>
                <w:sz w:val="22"/>
                <w:szCs w:val="24"/>
              </w:rPr>
              <w:t xml:space="preserve">Creating a contemporary building providing indoor market space and flexible office space for start-up </w:t>
            </w:r>
            <w:r w:rsidRPr="001E0BD2">
              <w:rPr>
                <w:sz w:val="22"/>
                <w:szCs w:val="24"/>
              </w:rPr>
              <w:lastRenderedPageBreak/>
              <w:t>and existing businesses, as well as a community garden and a new outdoor market square area.</w:t>
            </w:r>
          </w:p>
          <w:p w14:paraId="3DE6F281" w14:textId="6EB8D41E" w:rsidR="00A468C4" w:rsidRDefault="00A468C4" w:rsidP="003E7D52">
            <w:pPr>
              <w:rPr>
                <w:sz w:val="22"/>
                <w:szCs w:val="24"/>
              </w:rPr>
            </w:pPr>
          </w:p>
        </w:tc>
      </w:tr>
      <w:tr w:rsidR="001E4D73" w14:paraId="03C79E95" w14:textId="77777777" w:rsidTr="00B64EBB">
        <w:tc>
          <w:tcPr>
            <w:tcW w:w="2522" w:type="dxa"/>
          </w:tcPr>
          <w:p w14:paraId="4AD2C7AF" w14:textId="0218F7AC" w:rsidR="001E4D73" w:rsidRDefault="006008F7" w:rsidP="003E7D52">
            <w:pPr>
              <w:rPr>
                <w:sz w:val="22"/>
                <w:szCs w:val="24"/>
              </w:rPr>
            </w:pPr>
            <w:r>
              <w:rPr>
                <w:sz w:val="22"/>
                <w:szCs w:val="24"/>
              </w:rPr>
              <w:lastRenderedPageBreak/>
              <w:t>Swindon</w:t>
            </w:r>
          </w:p>
        </w:tc>
        <w:tc>
          <w:tcPr>
            <w:tcW w:w="2557" w:type="dxa"/>
          </w:tcPr>
          <w:p w14:paraId="134372A6" w14:textId="40CFD2D9" w:rsidR="001E4D73" w:rsidRDefault="006008F7" w:rsidP="003E7D52">
            <w:pPr>
              <w:rPr>
                <w:sz w:val="22"/>
                <w:szCs w:val="24"/>
              </w:rPr>
            </w:pPr>
            <w:r>
              <w:rPr>
                <w:sz w:val="22"/>
                <w:szCs w:val="24"/>
              </w:rPr>
              <w:t>Brunel Market</w:t>
            </w:r>
          </w:p>
        </w:tc>
        <w:tc>
          <w:tcPr>
            <w:tcW w:w="5327" w:type="dxa"/>
          </w:tcPr>
          <w:p w14:paraId="18DF5096" w14:textId="5704C735" w:rsidR="006F2F1D" w:rsidRPr="006F2F1D" w:rsidRDefault="0050599C" w:rsidP="006F2F1D">
            <w:pPr>
              <w:rPr>
                <w:sz w:val="22"/>
                <w:szCs w:val="24"/>
              </w:rPr>
            </w:pPr>
            <w:r w:rsidRPr="0050599C">
              <w:rPr>
                <w:sz w:val="22"/>
                <w:szCs w:val="24"/>
              </w:rPr>
              <w:t>A modern, vibrant market hall</w:t>
            </w:r>
            <w:r>
              <w:rPr>
                <w:sz w:val="22"/>
                <w:szCs w:val="24"/>
              </w:rPr>
              <w:t xml:space="preserve">: </w:t>
            </w:r>
            <w:r w:rsidR="006F2F1D" w:rsidRPr="006F2F1D">
              <w:rPr>
                <w:sz w:val="22"/>
                <w:szCs w:val="24"/>
              </w:rPr>
              <w:t>introducing new town centre uses, shifting the function of the</w:t>
            </w:r>
          </w:p>
          <w:p w14:paraId="1D91F744" w14:textId="4A235186" w:rsidR="001E4D73" w:rsidRDefault="006F2F1D" w:rsidP="006F2F1D">
            <w:pPr>
              <w:rPr>
                <w:sz w:val="22"/>
                <w:szCs w:val="24"/>
              </w:rPr>
            </w:pPr>
            <w:r w:rsidRPr="006F2F1D">
              <w:rPr>
                <w:sz w:val="22"/>
                <w:szCs w:val="24"/>
              </w:rPr>
              <w:t>area away from traditional retail.</w:t>
            </w:r>
          </w:p>
        </w:tc>
      </w:tr>
      <w:tr w:rsidR="002366C6" w14:paraId="0A7B7522" w14:textId="77777777" w:rsidTr="00B64EBB">
        <w:tc>
          <w:tcPr>
            <w:tcW w:w="2522" w:type="dxa"/>
          </w:tcPr>
          <w:p w14:paraId="0BF9D7A1" w14:textId="5741D235" w:rsidR="002366C6" w:rsidRDefault="00A468C4" w:rsidP="003E7D52">
            <w:pPr>
              <w:rPr>
                <w:sz w:val="22"/>
                <w:szCs w:val="24"/>
              </w:rPr>
            </w:pPr>
            <w:r>
              <w:rPr>
                <w:sz w:val="22"/>
                <w:szCs w:val="24"/>
              </w:rPr>
              <w:t>Torquay</w:t>
            </w:r>
          </w:p>
        </w:tc>
        <w:tc>
          <w:tcPr>
            <w:tcW w:w="2557" w:type="dxa"/>
          </w:tcPr>
          <w:p w14:paraId="0AD20140" w14:textId="05EC6858" w:rsidR="002366C6" w:rsidRDefault="00A468C4" w:rsidP="003E7D52">
            <w:pPr>
              <w:rPr>
                <w:sz w:val="22"/>
                <w:szCs w:val="24"/>
              </w:rPr>
            </w:pPr>
            <w:r>
              <w:rPr>
                <w:sz w:val="22"/>
                <w:szCs w:val="24"/>
              </w:rPr>
              <w:t>Union Square Phase 2</w:t>
            </w:r>
          </w:p>
        </w:tc>
        <w:tc>
          <w:tcPr>
            <w:tcW w:w="5327" w:type="dxa"/>
          </w:tcPr>
          <w:p w14:paraId="3586ABD9" w14:textId="00B1460D" w:rsidR="002366C6" w:rsidRPr="007F326B" w:rsidRDefault="00B962A7" w:rsidP="003E7D52">
            <w:pPr>
              <w:rPr>
                <w:sz w:val="22"/>
                <w:szCs w:val="24"/>
              </w:rPr>
            </w:pPr>
            <w:r w:rsidRPr="00B962A7">
              <w:rPr>
                <w:sz w:val="22"/>
                <w:szCs w:val="24"/>
              </w:rPr>
              <w:t>Open up the Torquay market building, deliver public realm improvements, and provide space for an adult skills centre</w:t>
            </w:r>
          </w:p>
        </w:tc>
      </w:tr>
      <w:tr w:rsidR="00B33C8F" w14:paraId="14ED79ED" w14:textId="77777777" w:rsidTr="00B64EBB">
        <w:tc>
          <w:tcPr>
            <w:tcW w:w="2522" w:type="dxa"/>
          </w:tcPr>
          <w:p w14:paraId="4BCB6307" w14:textId="372CC02F" w:rsidR="00B33C8F" w:rsidRDefault="00B33C8F" w:rsidP="003E7D52">
            <w:pPr>
              <w:rPr>
                <w:sz w:val="22"/>
                <w:szCs w:val="24"/>
              </w:rPr>
            </w:pPr>
            <w:r>
              <w:rPr>
                <w:sz w:val="22"/>
                <w:szCs w:val="24"/>
              </w:rPr>
              <w:t>Whitby</w:t>
            </w:r>
          </w:p>
        </w:tc>
        <w:tc>
          <w:tcPr>
            <w:tcW w:w="2557" w:type="dxa"/>
          </w:tcPr>
          <w:p w14:paraId="54A2EFD0" w14:textId="1504199A" w:rsidR="00B33C8F" w:rsidRDefault="00B33C8F" w:rsidP="003E7D52">
            <w:pPr>
              <w:rPr>
                <w:sz w:val="22"/>
                <w:szCs w:val="24"/>
              </w:rPr>
            </w:pPr>
            <w:r>
              <w:rPr>
                <w:sz w:val="22"/>
                <w:szCs w:val="24"/>
              </w:rPr>
              <w:t>Old Town Hall and Market Place</w:t>
            </w:r>
          </w:p>
        </w:tc>
        <w:tc>
          <w:tcPr>
            <w:tcW w:w="5327" w:type="dxa"/>
          </w:tcPr>
          <w:p w14:paraId="09D6EA76" w14:textId="1C650918" w:rsidR="00B33C8F" w:rsidRPr="00B962A7" w:rsidRDefault="001277BE" w:rsidP="003E7D52">
            <w:pPr>
              <w:rPr>
                <w:sz w:val="22"/>
                <w:szCs w:val="24"/>
              </w:rPr>
            </w:pPr>
            <w:r>
              <w:rPr>
                <w:sz w:val="22"/>
                <w:szCs w:val="24"/>
              </w:rPr>
              <w:t>Re</w:t>
            </w:r>
            <w:r w:rsidR="00B33C8F" w:rsidRPr="00B33C8F">
              <w:rPr>
                <w:sz w:val="22"/>
                <w:szCs w:val="24"/>
              </w:rPr>
              <w:t>vitalis</w:t>
            </w:r>
            <w:r>
              <w:rPr>
                <w:sz w:val="22"/>
                <w:szCs w:val="24"/>
              </w:rPr>
              <w:t>ing</w:t>
            </w:r>
            <w:r w:rsidR="00B33C8F" w:rsidRPr="00B33C8F">
              <w:rPr>
                <w:sz w:val="22"/>
                <w:szCs w:val="24"/>
              </w:rPr>
              <w:t xml:space="preserve"> key heritage assets including </w:t>
            </w:r>
            <w:r>
              <w:rPr>
                <w:sz w:val="22"/>
                <w:szCs w:val="24"/>
              </w:rPr>
              <w:t xml:space="preserve">the </w:t>
            </w:r>
            <w:r w:rsidR="00B33C8F" w:rsidRPr="00B33C8F">
              <w:rPr>
                <w:sz w:val="22"/>
                <w:szCs w:val="24"/>
              </w:rPr>
              <w:t>full renovation of the Grade II* listed building and investment in market infrastructure</w:t>
            </w:r>
          </w:p>
        </w:tc>
      </w:tr>
      <w:tr w:rsidR="002E364F" w14:paraId="5F0F2F56" w14:textId="77777777" w:rsidTr="00B64EBB">
        <w:tc>
          <w:tcPr>
            <w:tcW w:w="2522" w:type="dxa"/>
          </w:tcPr>
          <w:p w14:paraId="3CE70DB3" w14:textId="4136780D" w:rsidR="002E364F" w:rsidRDefault="002E364F" w:rsidP="003E7D52">
            <w:pPr>
              <w:rPr>
                <w:sz w:val="22"/>
                <w:szCs w:val="24"/>
              </w:rPr>
            </w:pPr>
            <w:r>
              <w:rPr>
                <w:sz w:val="22"/>
                <w:szCs w:val="24"/>
              </w:rPr>
              <w:t xml:space="preserve">Wolverhampton </w:t>
            </w:r>
          </w:p>
        </w:tc>
        <w:tc>
          <w:tcPr>
            <w:tcW w:w="2557" w:type="dxa"/>
          </w:tcPr>
          <w:p w14:paraId="070567D1" w14:textId="4CD7F20F" w:rsidR="002E364F" w:rsidRDefault="005F5FBE" w:rsidP="003E7D52">
            <w:pPr>
              <w:rPr>
                <w:sz w:val="22"/>
                <w:szCs w:val="24"/>
              </w:rPr>
            </w:pPr>
            <w:r w:rsidRPr="005F5FBE">
              <w:rPr>
                <w:sz w:val="22"/>
                <w:szCs w:val="24"/>
              </w:rPr>
              <w:t>Wednesfield High Street, Market and Permeability</w:t>
            </w:r>
          </w:p>
        </w:tc>
        <w:tc>
          <w:tcPr>
            <w:tcW w:w="5327" w:type="dxa"/>
          </w:tcPr>
          <w:p w14:paraId="756C83F4" w14:textId="4425C951" w:rsidR="002E364F" w:rsidRDefault="005F5FBE" w:rsidP="003E7D52">
            <w:pPr>
              <w:rPr>
                <w:sz w:val="22"/>
                <w:szCs w:val="24"/>
              </w:rPr>
            </w:pPr>
            <w:r w:rsidRPr="005F5FBE">
              <w:rPr>
                <w:sz w:val="22"/>
                <w:szCs w:val="24"/>
              </w:rPr>
              <w:t>Improvements including replacement of market stalls, creation of events space and improved infrastructure.</w:t>
            </w:r>
          </w:p>
        </w:tc>
      </w:tr>
      <w:tr w:rsidR="002E364F" w14:paraId="11706CF6" w14:textId="77777777" w:rsidTr="00B64EBB">
        <w:tc>
          <w:tcPr>
            <w:tcW w:w="2522" w:type="dxa"/>
          </w:tcPr>
          <w:p w14:paraId="7D3D00C1" w14:textId="309EF306" w:rsidR="002E364F" w:rsidRDefault="00BD3EA0" w:rsidP="003E7D52">
            <w:pPr>
              <w:rPr>
                <w:sz w:val="22"/>
                <w:szCs w:val="24"/>
              </w:rPr>
            </w:pPr>
            <w:r>
              <w:rPr>
                <w:sz w:val="22"/>
                <w:szCs w:val="24"/>
              </w:rPr>
              <w:t>Wolverhampton</w:t>
            </w:r>
          </w:p>
        </w:tc>
        <w:tc>
          <w:tcPr>
            <w:tcW w:w="2557" w:type="dxa"/>
          </w:tcPr>
          <w:p w14:paraId="2852DC22" w14:textId="677A19F1" w:rsidR="002E364F" w:rsidRDefault="00BD3EA0" w:rsidP="003E7D52">
            <w:pPr>
              <w:rPr>
                <w:sz w:val="22"/>
                <w:szCs w:val="24"/>
              </w:rPr>
            </w:pPr>
            <w:r>
              <w:rPr>
                <w:sz w:val="22"/>
                <w:szCs w:val="24"/>
              </w:rPr>
              <w:t xml:space="preserve">Bilston Markets </w:t>
            </w:r>
          </w:p>
        </w:tc>
        <w:tc>
          <w:tcPr>
            <w:tcW w:w="5327" w:type="dxa"/>
          </w:tcPr>
          <w:p w14:paraId="0DD3CD1C" w14:textId="38AF6310" w:rsidR="002E364F" w:rsidRDefault="00915FF0" w:rsidP="003E7D52">
            <w:pPr>
              <w:rPr>
                <w:sz w:val="22"/>
                <w:szCs w:val="24"/>
              </w:rPr>
            </w:pPr>
            <w:r w:rsidRPr="00915FF0">
              <w:rPr>
                <w:sz w:val="22"/>
                <w:szCs w:val="24"/>
              </w:rPr>
              <w:t>Full appraisal of B</w:t>
            </w:r>
            <w:r w:rsidR="00CE5918">
              <w:rPr>
                <w:sz w:val="22"/>
                <w:szCs w:val="24"/>
              </w:rPr>
              <w:t>ils</w:t>
            </w:r>
            <w:r w:rsidRPr="00915FF0">
              <w:rPr>
                <w:sz w:val="22"/>
                <w:szCs w:val="24"/>
              </w:rPr>
              <w:t>ton Market to create 1,500 sqm enhanced public realm, 400sqm new commercial space</w:t>
            </w:r>
          </w:p>
        </w:tc>
      </w:tr>
      <w:tr w:rsidR="00111F8F" w14:paraId="0BDAF3F2" w14:textId="77777777" w:rsidTr="00AE3C7B">
        <w:tc>
          <w:tcPr>
            <w:tcW w:w="10406" w:type="dxa"/>
            <w:gridSpan w:val="3"/>
            <w:tcBorders>
              <w:top w:val="single" w:sz="24" w:space="0" w:color="auto"/>
              <w:left w:val="single" w:sz="24" w:space="0" w:color="auto"/>
              <w:bottom w:val="single" w:sz="24" w:space="0" w:color="auto"/>
              <w:right w:val="single" w:sz="24" w:space="0" w:color="auto"/>
            </w:tcBorders>
          </w:tcPr>
          <w:p w14:paraId="30FD98C8" w14:textId="77777777" w:rsidR="00111F8F" w:rsidRDefault="00111F8F" w:rsidP="003E7D52">
            <w:pPr>
              <w:jc w:val="center"/>
              <w:rPr>
                <w:b/>
                <w:bCs/>
                <w:sz w:val="22"/>
                <w:szCs w:val="24"/>
              </w:rPr>
            </w:pPr>
            <w:r>
              <w:rPr>
                <w:b/>
                <w:bCs/>
                <w:sz w:val="22"/>
                <w:szCs w:val="24"/>
              </w:rPr>
              <w:t xml:space="preserve">Future High Streets Fund competition </w:t>
            </w:r>
          </w:p>
        </w:tc>
      </w:tr>
      <w:tr w:rsidR="00B64EBB" w14:paraId="1BA3BF52" w14:textId="77777777" w:rsidTr="00B64EBB">
        <w:tc>
          <w:tcPr>
            <w:tcW w:w="2522" w:type="dxa"/>
            <w:tcBorders>
              <w:top w:val="single" w:sz="24" w:space="0" w:color="auto"/>
            </w:tcBorders>
          </w:tcPr>
          <w:p w14:paraId="69CD42BC" w14:textId="77777777" w:rsidR="00111F8F" w:rsidRPr="00862BB2" w:rsidRDefault="00111F8F" w:rsidP="003E7D52">
            <w:pPr>
              <w:rPr>
                <w:b/>
                <w:bCs/>
                <w:sz w:val="22"/>
                <w:szCs w:val="24"/>
              </w:rPr>
            </w:pPr>
            <w:r>
              <w:rPr>
                <w:b/>
                <w:bCs/>
                <w:sz w:val="22"/>
                <w:szCs w:val="24"/>
              </w:rPr>
              <w:t>Local Authority</w:t>
            </w:r>
          </w:p>
        </w:tc>
        <w:tc>
          <w:tcPr>
            <w:tcW w:w="2557" w:type="dxa"/>
            <w:tcBorders>
              <w:top w:val="single" w:sz="24" w:space="0" w:color="auto"/>
            </w:tcBorders>
          </w:tcPr>
          <w:p w14:paraId="02860C81" w14:textId="77777777" w:rsidR="00111F8F" w:rsidRPr="00862BB2" w:rsidRDefault="00111F8F" w:rsidP="003E7D52">
            <w:pPr>
              <w:rPr>
                <w:b/>
                <w:bCs/>
                <w:sz w:val="22"/>
                <w:szCs w:val="24"/>
              </w:rPr>
            </w:pPr>
            <w:r>
              <w:rPr>
                <w:b/>
                <w:bCs/>
                <w:sz w:val="22"/>
                <w:szCs w:val="24"/>
              </w:rPr>
              <w:t>High Street</w:t>
            </w:r>
          </w:p>
        </w:tc>
        <w:tc>
          <w:tcPr>
            <w:tcW w:w="5327" w:type="dxa"/>
            <w:tcBorders>
              <w:top w:val="single" w:sz="24" w:space="0" w:color="auto"/>
            </w:tcBorders>
          </w:tcPr>
          <w:p w14:paraId="6B9A5B0C" w14:textId="77777777" w:rsidR="00111F8F" w:rsidRPr="00862BB2" w:rsidRDefault="00111F8F" w:rsidP="003E7D52">
            <w:pPr>
              <w:rPr>
                <w:b/>
                <w:bCs/>
                <w:sz w:val="22"/>
                <w:szCs w:val="24"/>
              </w:rPr>
            </w:pPr>
            <w:r>
              <w:rPr>
                <w:b/>
                <w:bCs/>
                <w:sz w:val="22"/>
                <w:szCs w:val="24"/>
              </w:rPr>
              <w:t>Description</w:t>
            </w:r>
          </w:p>
        </w:tc>
      </w:tr>
      <w:tr w:rsidR="00B64EBB" w14:paraId="0D64D39B" w14:textId="77777777" w:rsidTr="00B64EBB">
        <w:tc>
          <w:tcPr>
            <w:tcW w:w="2522" w:type="dxa"/>
          </w:tcPr>
          <w:p w14:paraId="73EF5CD1" w14:textId="77777777" w:rsidR="00111F8F" w:rsidRDefault="00111F8F" w:rsidP="003E7D52">
            <w:pPr>
              <w:rPr>
                <w:sz w:val="22"/>
                <w:szCs w:val="24"/>
              </w:rPr>
            </w:pPr>
            <w:r>
              <w:rPr>
                <w:sz w:val="22"/>
                <w:szCs w:val="24"/>
              </w:rPr>
              <w:t>Teignbridge DC</w:t>
            </w:r>
          </w:p>
        </w:tc>
        <w:tc>
          <w:tcPr>
            <w:tcW w:w="2557" w:type="dxa"/>
          </w:tcPr>
          <w:p w14:paraId="40C8A853" w14:textId="77777777" w:rsidR="00111F8F" w:rsidRDefault="00111F8F" w:rsidP="003E7D52">
            <w:pPr>
              <w:rPr>
                <w:sz w:val="22"/>
                <w:szCs w:val="24"/>
              </w:rPr>
            </w:pPr>
            <w:r>
              <w:rPr>
                <w:sz w:val="22"/>
                <w:szCs w:val="24"/>
              </w:rPr>
              <w:t>Newton Abbot</w:t>
            </w:r>
          </w:p>
        </w:tc>
        <w:tc>
          <w:tcPr>
            <w:tcW w:w="5327" w:type="dxa"/>
          </w:tcPr>
          <w:p w14:paraId="6CEE4F4B" w14:textId="77777777" w:rsidR="00111F8F" w:rsidRDefault="00111F8F" w:rsidP="003E7D52">
            <w:pPr>
              <w:rPr>
                <w:sz w:val="22"/>
                <w:szCs w:val="24"/>
              </w:rPr>
            </w:pPr>
            <w:r>
              <w:rPr>
                <w:sz w:val="22"/>
                <w:szCs w:val="24"/>
              </w:rPr>
              <w:t>In</w:t>
            </w:r>
            <w:r w:rsidRPr="00A1400A">
              <w:rPr>
                <w:sz w:val="22"/>
                <w:szCs w:val="24"/>
              </w:rPr>
              <w:t>vestment inclu</w:t>
            </w:r>
            <w:r>
              <w:rPr>
                <w:sz w:val="22"/>
                <w:szCs w:val="24"/>
              </w:rPr>
              <w:t xml:space="preserve">des </w:t>
            </w:r>
            <w:r w:rsidRPr="00A1400A">
              <w:rPr>
                <w:sz w:val="22"/>
                <w:szCs w:val="24"/>
              </w:rPr>
              <w:t>the regeneration of the Newton Abbot Market Hall</w:t>
            </w:r>
            <w:r>
              <w:rPr>
                <w:sz w:val="22"/>
                <w:szCs w:val="24"/>
              </w:rPr>
              <w:t xml:space="preserve"> </w:t>
            </w:r>
            <w:r w:rsidRPr="00A1400A">
              <w:rPr>
                <w:sz w:val="22"/>
                <w:szCs w:val="24"/>
              </w:rPr>
              <w:t>and Outdoor Markets</w:t>
            </w:r>
            <w:r>
              <w:rPr>
                <w:sz w:val="22"/>
                <w:szCs w:val="24"/>
              </w:rPr>
              <w:t xml:space="preserve">. </w:t>
            </w:r>
          </w:p>
        </w:tc>
      </w:tr>
      <w:tr w:rsidR="00B64EBB" w14:paraId="4B155CAB" w14:textId="77777777" w:rsidTr="00B64EBB">
        <w:tc>
          <w:tcPr>
            <w:tcW w:w="2522" w:type="dxa"/>
          </w:tcPr>
          <w:p w14:paraId="70168F63" w14:textId="77777777" w:rsidR="00111F8F" w:rsidRDefault="00111F8F" w:rsidP="003E7D52">
            <w:pPr>
              <w:rPr>
                <w:sz w:val="22"/>
                <w:szCs w:val="24"/>
              </w:rPr>
            </w:pPr>
            <w:r>
              <w:rPr>
                <w:sz w:val="22"/>
                <w:szCs w:val="24"/>
              </w:rPr>
              <w:t>Thanet DC</w:t>
            </w:r>
          </w:p>
        </w:tc>
        <w:tc>
          <w:tcPr>
            <w:tcW w:w="2557" w:type="dxa"/>
          </w:tcPr>
          <w:p w14:paraId="2C87BE01" w14:textId="77777777" w:rsidR="00111F8F" w:rsidRDefault="00111F8F" w:rsidP="003E7D52">
            <w:pPr>
              <w:rPr>
                <w:sz w:val="22"/>
                <w:szCs w:val="24"/>
              </w:rPr>
            </w:pPr>
            <w:r>
              <w:rPr>
                <w:sz w:val="22"/>
                <w:szCs w:val="24"/>
              </w:rPr>
              <w:t>Ramsgate</w:t>
            </w:r>
          </w:p>
        </w:tc>
        <w:tc>
          <w:tcPr>
            <w:tcW w:w="5327" w:type="dxa"/>
          </w:tcPr>
          <w:p w14:paraId="6E90FBB6" w14:textId="77777777" w:rsidR="00111F8F" w:rsidRDefault="00111F8F" w:rsidP="003E7D52">
            <w:pPr>
              <w:rPr>
                <w:sz w:val="22"/>
                <w:szCs w:val="24"/>
              </w:rPr>
            </w:pPr>
            <w:r w:rsidRPr="00817EC3">
              <w:rPr>
                <w:sz w:val="22"/>
                <w:szCs w:val="24"/>
              </w:rPr>
              <w:t>A vacant, historic indoor market will be transformed into new workspace for creative industries, as well as food and drink and cultural retail.</w:t>
            </w:r>
          </w:p>
        </w:tc>
      </w:tr>
      <w:tr w:rsidR="00B64EBB" w14:paraId="1430ECA7" w14:textId="77777777" w:rsidTr="00B64EBB">
        <w:tc>
          <w:tcPr>
            <w:tcW w:w="2522" w:type="dxa"/>
          </w:tcPr>
          <w:p w14:paraId="0D90E72A" w14:textId="77777777" w:rsidR="00111F8F" w:rsidRDefault="00111F8F" w:rsidP="003E7D52">
            <w:pPr>
              <w:rPr>
                <w:sz w:val="22"/>
                <w:szCs w:val="24"/>
              </w:rPr>
            </w:pPr>
            <w:r>
              <w:rPr>
                <w:sz w:val="22"/>
                <w:szCs w:val="24"/>
              </w:rPr>
              <w:t>West Northamptonshire UA</w:t>
            </w:r>
          </w:p>
        </w:tc>
        <w:tc>
          <w:tcPr>
            <w:tcW w:w="2557" w:type="dxa"/>
          </w:tcPr>
          <w:p w14:paraId="0B00DDF9" w14:textId="77777777" w:rsidR="00111F8F" w:rsidRDefault="00111F8F" w:rsidP="003E7D52">
            <w:pPr>
              <w:rPr>
                <w:sz w:val="22"/>
                <w:szCs w:val="24"/>
              </w:rPr>
            </w:pPr>
            <w:r>
              <w:rPr>
                <w:sz w:val="22"/>
                <w:szCs w:val="24"/>
              </w:rPr>
              <w:t xml:space="preserve">Northampton </w:t>
            </w:r>
          </w:p>
        </w:tc>
        <w:tc>
          <w:tcPr>
            <w:tcW w:w="5327" w:type="dxa"/>
          </w:tcPr>
          <w:p w14:paraId="3B505746" w14:textId="77777777" w:rsidR="00111F8F" w:rsidRDefault="00111F8F" w:rsidP="003E7D52">
            <w:pPr>
              <w:rPr>
                <w:sz w:val="22"/>
                <w:szCs w:val="24"/>
              </w:rPr>
            </w:pPr>
            <w:r w:rsidRPr="0002135B">
              <w:rPr>
                <w:sz w:val="22"/>
                <w:szCs w:val="24"/>
              </w:rPr>
              <w:t>Funding will deliver public realm improvements to Northampton’s historic Market Square, including a redevelopment of the outdoor traders’ market to support the council's regeneration programme.</w:t>
            </w:r>
          </w:p>
        </w:tc>
      </w:tr>
      <w:tr w:rsidR="00B64EBB" w14:paraId="3FC4C35B" w14:textId="77777777" w:rsidTr="00B64EBB">
        <w:tc>
          <w:tcPr>
            <w:tcW w:w="2522" w:type="dxa"/>
          </w:tcPr>
          <w:p w14:paraId="33F37C70" w14:textId="77777777" w:rsidR="00111F8F" w:rsidRDefault="00111F8F" w:rsidP="003E7D52">
            <w:pPr>
              <w:rPr>
                <w:sz w:val="22"/>
                <w:szCs w:val="24"/>
              </w:rPr>
            </w:pPr>
            <w:r>
              <w:rPr>
                <w:sz w:val="22"/>
                <w:szCs w:val="24"/>
              </w:rPr>
              <w:t>Wirral Council</w:t>
            </w:r>
          </w:p>
        </w:tc>
        <w:tc>
          <w:tcPr>
            <w:tcW w:w="2557" w:type="dxa"/>
          </w:tcPr>
          <w:p w14:paraId="1EF9B041" w14:textId="77777777" w:rsidR="00111F8F" w:rsidRDefault="00111F8F" w:rsidP="003E7D52">
            <w:pPr>
              <w:rPr>
                <w:sz w:val="22"/>
                <w:szCs w:val="24"/>
              </w:rPr>
            </w:pPr>
            <w:r>
              <w:rPr>
                <w:sz w:val="22"/>
                <w:szCs w:val="24"/>
              </w:rPr>
              <w:t>Birkenhead</w:t>
            </w:r>
          </w:p>
        </w:tc>
        <w:tc>
          <w:tcPr>
            <w:tcW w:w="5327" w:type="dxa"/>
          </w:tcPr>
          <w:p w14:paraId="6BEB5FBD" w14:textId="77777777" w:rsidR="00111F8F" w:rsidRDefault="00111F8F" w:rsidP="003E7D52">
            <w:pPr>
              <w:rPr>
                <w:sz w:val="22"/>
                <w:szCs w:val="24"/>
              </w:rPr>
            </w:pPr>
            <w:r>
              <w:rPr>
                <w:sz w:val="22"/>
                <w:szCs w:val="24"/>
              </w:rPr>
              <w:t>Investment in</w:t>
            </w:r>
            <w:r w:rsidRPr="00382D9B">
              <w:rPr>
                <w:sz w:val="22"/>
                <w:szCs w:val="24"/>
              </w:rPr>
              <w:t xml:space="preserve"> a permanent new space for the historic market in Birkenhead.</w:t>
            </w:r>
          </w:p>
        </w:tc>
      </w:tr>
      <w:tr w:rsidR="00B64EBB" w14:paraId="5F08C6B9" w14:textId="77777777" w:rsidTr="00B64EBB">
        <w:tc>
          <w:tcPr>
            <w:tcW w:w="2522" w:type="dxa"/>
          </w:tcPr>
          <w:p w14:paraId="7A8750E6" w14:textId="77777777" w:rsidR="00111F8F" w:rsidRDefault="00111F8F" w:rsidP="003E7D52">
            <w:pPr>
              <w:rPr>
                <w:sz w:val="22"/>
                <w:szCs w:val="24"/>
              </w:rPr>
            </w:pPr>
            <w:r>
              <w:rPr>
                <w:sz w:val="22"/>
                <w:szCs w:val="24"/>
              </w:rPr>
              <w:t>Amber Valley BC</w:t>
            </w:r>
          </w:p>
        </w:tc>
        <w:tc>
          <w:tcPr>
            <w:tcW w:w="2557" w:type="dxa"/>
          </w:tcPr>
          <w:p w14:paraId="34377567" w14:textId="77777777" w:rsidR="00111F8F" w:rsidRDefault="00111F8F" w:rsidP="003E7D52">
            <w:pPr>
              <w:rPr>
                <w:sz w:val="22"/>
                <w:szCs w:val="24"/>
              </w:rPr>
            </w:pPr>
            <w:r>
              <w:rPr>
                <w:sz w:val="22"/>
                <w:szCs w:val="24"/>
              </w:rPr>
              <w:t>Heanor</w:t>
            </w:r>
          </w:p>
        </w:tc>
        <w:tc>
          <w:tcPr>
            <w:tcW w:w="5327" w:type="dxa"/>
          </w:tcPr>
          <w:p w14:paraId="4E9FAEFC" w14:textId="77777777" w:rsidR="00111F8F" w:rsidRDefault="00111F8F" w:rsidP="003E7D52">
            <w:pPr>
              <w:rPr>
                <w:sz w:val="22"/>
                <w:szCs w:val="24"/>
              </w:rPr>
            </w:pPr>
            <w:r w:rsidRPr="00F750EB">
              <w:rPr>
                <w:sz w:val="22"/>
                <w:szCs w:val="24"/>
              </w:rPr>
              <w:t>Funding for Heanor will deliver public realm improvements to the market</w:t>
            </w:r>
            <w:r>
              <w:rPr>
                <w:sz w:val="22"/>
                <w:szCs w:val="24"/>
              </w:rPr>
              <w:t>place.</w:t>
            </w:r>
          </w:p>
        </w:tc>
      </w:tr>
      <w:tr w:rsidR="00B64EBB" w14:paraId="49478A29" w14:textId="77777777" w:rsidTr="00B64EBB">
        <w:tc>
          <w:tcPr>
            <w:tcW w:w="2522" w:type="dxa"/>
          </w:tcPr>
          <w:p w14:paraId="6EBC847D" w14:textId="77777777" w:rsidR="00111F8F" w:rsidRDefault="00111F8F" w:rsidP="003E7D52">
            <w:pPr>
              <w:rPr>
                <w:sz w:val="22"/>
                <w:szCs w:val="24"/>
              </w:rPr>
            </w:pPr>
            <w:r>
              <w:rPr>
                <w:sz w:val="22"/>
                <w:szCs w:val="24"/>
              </w:rPr>
              <w:t>Carlisle CC</w:t>
            </w:r>
          </w:p>
        </w:tc>
        <w:tc>
          <w:tcPr>
            <w:tcW w:w="2557" w:type="dxa"/>
          </w:tcPr>
          <w:p w14:paraId="5133B515" w14:textId="77777777" w:rsidR="00111F8F" w:rsidRDefault="00111F8F" w:rsidP="003E7D52">
            <w:pPr>
              <w:rPr>
                <w:sz w:val="22"/>
                <w:szCs w:val="24"/>
              </w:rPr>
            </w:pPr>
            <w:r>
              <w:rPr>
                <w:sz w:val="22"/>
                <w:szCs w:val="24"/>
              </w:rPr>
              <w:t>Carlisle</w:t>
            </w:r>
          </w:p>
        </w:tc>
        <w:tc>
          <w:tcPr>
            <w:tcW w:w="5327" w:type="dxa"/>
          </w:tcPr>
          <w:p w14:paraId="47B6C244" w14:textId="77777777" w:rsidR="00111F8F" w:rsidRDefault="00111F8F" w:rsidP="003E7D52">
            <w:pPr>
              <w:rPr>
                <w:sz w:val="22"/>
                <w:szCs w:val="24"/>
              </w:rPr>
            </w:pPr>
            <w:r w:rsidRPr="006D6632">
              <w:rPr>
                <w:sz w:val="22"/>
                <w:szCs w:val="24"/>
              </w:rPr>
              <w:t>Investment for Carlisle will provide public realm</w:t>
            </w:r>
            <w:r>
              <w:rPr>
                <w:sz w:val="22"/>
                <w:szCs w:val="24"/>
              </w:rPr>
              <w:t xml:space="preserve"> improvements to the </w:t>
            </w:r>
            <w:r w:rsidRPr="006D6632">
              <w:rPr>
                <w:sz w:val="22"/>
                <w:szCs w:val="24"/>
              </w:rPr>
              <w:t xml:space="preserve">Market Square to host temporary or pop-up events. </w:t>
            </w:r>
          </w:p>
        </w:tc>
      </w:tr>
      <w:tr w:rsidR="00B64EBB" w14:paraId="0A0A89DB" w14:textId="77777777" w:rsidTr="00B64EBB">
        <w:tc>
          <w:tcPr>
            <w:tcW w:w="2522" w:type="dxa"/>
          </w:tcPr>
          <w:p w14:paraId="588C3078" w14:textId="77777777" w:rsidR="00111F8F" w:rsidRDefault="00111F8F" w:rsidP="003E7D52">
            <w:pPr>
              <w:rPr>
                <w:sz w:val="22"/>
                <w:szCs w:val="24"/>
              </w:rPr>
            </w:pPr>
            <w:r>
              <w:rPr>
                <w:sz w:val="22"/>
                <w:szCs w:val="24"/>
              </w:rPr>
              <w:t>Derby CC</w:t>
            </w:r>
          </w:p>
        </w:tc>
        <w:tc>
          <w:tcPr>
            <w:tcW w:w="2557" w:type="dxa"/>
          </w:tcPr>
          <w:p w14:paraId="152C42D0" w14:textId="77777777" w:rsidR="00111F8F" w:rsidRDefault="00111F8F" w:rsidP="003E7D52">
            <w:pPr>
              <w:rPr>
                <w:sz w:val="22"/>
                <w:szCs w:val="24"/>
              </w:rPr>
            </w:pPr>
            <w:r>
              <w:rPr>
                <w:sz w:val="22"/>
                <w:szCs w:val="24"/>
              </w:rPr>
              <w:t>Derby</w:t>
            </w:r>
          </w:p>
        </w:tc>
        <w:tc>
          <w:tcPr>
            <w:tcW w:w="5327" w:type="dxa"/>
          </w:tcPr>
          <w:p w14:paraId="5E0BE985" w14:textId="77777777" w:rsidR="00111F8F" w:rsidRDefault="00111F8F" w:rsidP="003E7D52">
            <w:pPr>
              <w:rPr>
                <w:sz w:val="22"/>
                <w:szCs w:val="24"/>
              </w:rPr>
            </w:pPr>
            <w:r w:rsidRPr="00677D8C">
              <w:rPr>
                <w:sz w:val="22"/>
                <w:szCs w:val="24"/>
              </w:rPr>
              <w:t xml:space="preserve">Investment for Derby will provide a new market offer and establish a key route connecting the town centre. </w:t>
            </w:r>
          </w:p>
        </w:tc>
      </w:tr>
      <w:tr w:rsidR="00B64EBB" w14:paraId="6864BAAD" w14:textId="77777777" w:rsidTr="00B64EBB">
        <w:tc>
          <w:tcPr>
            <w:tcW w:w="2522" w:type="dxa"/>
          </w:tcPr>
          <w:p w14:paraId="515757AC" w14:textId="77777777" w:rsidR="00111F8F" w:rsidRDefault="00111F8F" w:rsidP="003E7D52">
            <w:pPr>
              <w:rPr>
                <w:sz w:val="22"/>
                <w:szCs w:val="24"/>
              </w:rPr>
            </w:pPr>
            <w:r>
              <w:rPr>
                <w:sz w:val="22"/>
                <w:szCs w:val="24"/>
              </w:rPr>
              <w:t>North Devon Council</w:t>
            </w:r>
          </w:p>
        </w:tc>
        <w:tc>
          <w:tcPr>
            <w:tcW w:w="2557" w:type="dxa"/>
          </w:tcPr>
          <w:p w14:paraId="1ECB3568" w14:textId="77777777" w:rsidR="00111F8F" w:rsidRDefault="00111F8F" w:rsidP="003E7D52">
            <w:pPr>
              <w:rPr>
                <w:sz w:val="22"/>
                <w:szCs w:val="24"/>
              </w:rPr>
            </w:pPr>
            <w:r>
              <w:rPr>
                <w:sz w:val="22"/>
                <w:szCs w:val="24"/>
              </w:rPr>
              <w:t>Barnstaple</w:t>
            </w:r>
          </w:p>
        </w:tc>
        <w:tc>
          <w:tcPr>
            <w:tcW w:w="5327" w:type="dxa"/>
          </w:tcPr>
          <w:p w14:paraId="74CC9B0A" w14:textId="77777777" w:rsidR="00111F8F" w:rsidRDefault="00111F8F" w:rsidP="003E7D52">
            <w:pPr>
              <w:rPr>
                <w:sz w:val="22"/>
                <w:szCs w:val="24"/>
              </w:rPr>
            </w:pPr>
            <w:r>
              <w:rPr>
                <w:sz w:val="22"/>
                <w:szCs w:val="24"/>
              </w:rPr>
              <w:t xml:space="preserve">Funding </w:t>
            </w:r>
            <w:r w:rsidRPr="00E936BA">
              <w:rPr>
                <w:sz w:val="22"/>
                <w:szCs w:val="24"/>
              </w:rPr>
              <w:t xml:space="preserve">will transform the town </w:t>
            </w:r>
            <w:r>
              <w:rPr>
                <w:sz w:val="22"/>
                <w:szCs w:val="24"/>
              </w:rPr>
              <w:t>by</w:t>
            </w:r>
            <w:r w:rsidRPr="00E936BA">
              <w:rPr>
                <w:sz w:val="22"/>
                <w:szCs w:val="24"/>
              </w:rPr>
              <w:t xml:space="preserve"> repurposing and diversif</w:t>
            </w:r>
            <w:r>
              <w:rPr>
                <w:sz w:val="22"/>
                <w:szCs w:val="24"/>
              </w:rPr>
              <w:t xml:space="preserve">ying </w:t>
            </w:r>
            <w:r w:rsidRPr="00E936BA">
              <w:rPr>
                <w:sz w:val="22"/>
                <w:szCs w:val="24"/>
              </w:rPr>
              <w:t>the market into flexible space for a more diverse and ambitious programme of markets, events and community gatherings</w:t>
            </w:r>
            <w:r>
              <w:rPr>
                <w:sz w:val="22"/>
                <w:szCs w:val="24"/>
              </w:rPr>
              <w:t xml:space="preserve">. </w:t>
            </w:r>
          </w:p>
        </w:tc>
      </w:tr>
      <w:tr w:rsidR="00B64EBB" w14:paraId="4F35574C" w14:textId="77777777" w:rsidTr="00B64EBB">
        <w:tc>
          <w:tcPr>
            <w:tcW w:w="2522" w:type="dxa"/>
          </w:tcPr>
          <w:p w14:paraId="7B5A7C59" w14:textId="77777777" w:rsidR="00111F8F" w:rsidRDefault="00111F8F" w:rsidP="003E7D52">
            <w:pPr>
              <w:rPr>
                <w:sz w:val="22"/>
                <w:szCs w:val="24"/>
              </w:rPr>
            </w:pPr>
            <w:r>
              <w:rPr>
                <w:sz w:val="22"/>
                <w:szCs w:val="24"/>
              </w:rPr>
              <w:t>NE Lincolnshire Council</w:t>
            </w:r>
          </w:p>
        </w:tc>
        <w:tc>
          <w:tcPr>
            <w:tcW w:w="2557" w:type="dxa"/>
          </w:tcPr>
          <w:p w14:paraId="59616C0D" w14:textId="77777777" w:rsidR="00111F8F" w:rsidRDefault="00111F8F" w:rsidP="003E7D52">
            <w:pPr>
              <w:rPr>
                <w:sz w:val="22"/>
                <w:szCs w:val="24"/>
              </w:rPr>
            </w:pPr>
            <w:r>
              <w:rPr>
                <w:sz w:val="22"/>
                <w:szCs w:val="24"/>
              </w:rPr>
              <w:t xml:space="preserve">Grimsby </w:t>
            </w:r>
          </w:p>
        </w:tc>
        <w:tc>
          <w:tcPr>
            <w:tcW w:w="5327" w:type="dxa"/>
          </w:tcPr>
          <w:p w14:paraId="097B032C" w14:textId="77777777" w:rsidR="00111F8F" w:rsidRDefault="00111F8F" w:rsidP="003E7D52">
            <w:pPr>
              <w:rPr>
                <w:sz w:val="22"/>
                <w:szCs w:val="24"/>
              </w:rPr>
            </w:pPr>
            <w:r>
              <w:rPr>
                <w:sz w:val="22"/>
                <w:szCs w:val="24"/>
              </w:rPr>
              <w:t>To</w:t>
            </w:r>
            <w:r w:rsidRPr="005A20CC">
              <w:rPr>
                <w:sz w:val="22"/>
                <w:szCs w:val="24"/>
              </w:rPr>
              <w:t xml:space="preserve"> diversify by expanding the day and evening economy through a new leisure hub destination including a multiplex cinema and market food hall, centred on a new public square and events space bringing much needed vitality to the high street.</w:t>
            </w:r>
          </w:p>
        </w:tc>
      </w:tr>
      <w:tr w:rsidR="00B64EBB" w14:paraId="03A9D10F" w14:textId="77777777" w:rsidTr="00B64EBB">
        <w:tc>
          <w:tcPr>
            <w:tcW w:w="2522" w:type="dxa"/>
          </w:tcPr>
          <w:p w14:paraId="4C62CDCF" w14:textId="77777777" w:rsidR="00111F8F" w:rsidRDefault="00111F8F" w:rsidP="003E7D52">
            <w:pPr>
              <w:rPr>
                <w:sz w:val="22"/>
                <w:szCs w:val="24"/>
              </w:rPr>
            </w:pPr>
            <w:r>
              <w:rPr>
                <w:sz w:val="22"/>
                <w:szCs w:val="24"/>
              </w:rPr>
              <w:t>North Lincolnshire Council</w:t>
            </w:r>
          </w:p>
        </w:tc>
        <w:tc>
          <w:tcPr>
            <w:tcW w:w="2557" w:type="dxa"/>
          </w:tcPr>
          <w:p w14:paraId="057E57D1" w14:textId="77777777" w:rsidR="00111F8F" w:rsidRDefault="00111F8F" w:rsidP="003E7D52">
            <w:pPr>
              <w:rPr>
                <w:sz w:val="22"/>
                <w:szCs w:val="24"/>
              </w:rPr>
            </w:pPr>
            <w:r>
              <w:rPr>
                <w:sz w:val="22"/>
                <w:szCs w:val="24"/>
              </w:rPr>
              <w:t xml:space="preserve">Scunthorpe </w:t>
            </w:r>
          </w:p>
        </w:tc>
        <w:tc>
          <w:tcPr>
            <w:tcW w:w="5327" w:type="dxa"/>
          </w:tcPr>
          <w:p w14:paraId="5AFBA9B1" w14:textId="77777777" w:rsidR="00111F8F" w:rsidRDefault="00111F8F" w:rsidP="003E7D52">
            <w:pPr>
              <w:rPr>
                <w:sz w:val="22"/>
                <w:szCs w:val="24"/>
              </w:rPr>
            </w:pPr>
            <w:r w:rsidRPr="00844A59">
              <w:rPr>
                <w:sz w:val="22"/>
                <w:szCs w:val="24"/>
              </w:rPr>
              <w:t>Funding will enable the redevelopment of the former Scunthorpe Market site into a mixed-use space with workspace, student accommodation, an improved food and beverage offer, and training facilities to support local educational programmes.</w:t>
            </w:r>
          </w:p>
        </w:tc>
      </w:tr>
      <w:tr w:rsidR="00B64EBB" w14:paraId="20A580C3" w14:textId="77777777" w:rsidTr="00B64EBB">
        <w:tc>
          <w:tcPr>
            <w:tcW w:w="2522" w:type="dxa"/>
          </w:tcPr>
          <w:p w14:paraId="24C5D330" w14:textId="77777777" w:rsidR="00111F8F" w:rsidRDefault="00111F8F" w:rsidP="003E7D52">
            <w:pPr>
              <w:rPr>
                <w:sz w:val="22"/>
                <w:szCs w:val="24"/>
              </w:rPr>
            </w:pPr>
            <w:r>
              <w:rPr>
                <w:sz w:val="22"/>
                <w:szCs w:val="24"/>
              </w:rPr>
              <w:t xml:space="preserve">Royal Borough of Greenwich </w:t>
            </w:r>
          </w:p>
        </w:tc>
        <w:tc>
          <w:tcPr>
            <w:tcW w:w="2557" w:type="dxa"/>
          </w:tcPr>
          <w:p w14:paraId="5443AEC1" w14:textId="77777777" w:rsidR="00111F8F" w:rsidRDefault="00111F8F" w:rsidP="003E7D52">
            <w:pPr>
              <w:rPr>
                <w:sz w:val="22"/>
                <w:szCs w:val="24"/>
              </w:rPr>
            </w:pPr>
            <w:r>
              <w:rPr>
                <w:sz w:val="22"/>
                <w:szCs w:val="24"/>
              </w:rPr>
              <w:t>Woolwich</w:t>
            </w:r>
          </w:p>
        </w:tc>
        <w:tc>
          <w:tcPr>
            <w:tcW w:w="5327" w:type="dxa"/>
          </w:tcPr>
          <w:p w14:paraId="4394058B" w14:textId="77777777" w:rsidR="00111F8F" w:rsidRDefault="00111F8F" w:rsidP="003E7D52">
            <w:pPr>
              <w:rPr>
                <w:sz w:val="22"/>
                <w:szCs w:val="24"/>
              </w:rPr>
            </w:pPr>
            <w:r>
              <w:rPr>
                <w:sz w:val="22"/>
                <w:szCs w:val="24"/>
              </w:rPr>
              <w:t>In</w:t>
            </w:r>
            <w:r w:rsidRPr="00E06FC9">
              <w:rPr>
                <w:sz w:val="22"/>
                <w:szCs w:val="24"/>
              </w:rPr>
              <w:t xml:space="preserve">vestment for Woolwich will increase footfall though pedestrianisation and </w:t>
            </w:r>
            <w:r>
              <w:rPr>
                <w:sz w:val="22"/>
                <w:szCs w:val="24"/>
              </w:rPr>
              <w:t xml:space="preserve">an </w:t>
            </w:r>
            <w:r w:rsidRPr="00E06FC9">
              <w:rPr>
                <w:sz w:val="22"/>
                <w:szCs w:val="24"/>
              </w:rPr>
              <w:t>improved public realm with market stalls and a new performance space.</w:t>
            </w:r>
          </w:p>
        </w:tc>
      </w:tr>
      <w:tr w:rsidR="00B64EBB" w14:paraId="015CD9ED" w14:textId="77777777" w:rsidTr="00B64EBB">
        <w:tc>
          <w:tcPr>
            <w:tcW w:w="2522" w:type="dxa"/>
          </w:tcPr>
          <w:p w14:paraId="08497576" w14:textId="77777777" w:rsidR="00111F8F" w:rsidRDefault="00111F8F" w:rsidP="003E7D52">
            <w:pPr>
              <w:rPr>
                <w:sz w:val="22"/>
                <w:szCs w:val="24"/>
              </w:rPr>
            </w:pPr>
            <w:r>
              <w:rPr>
                <w:sz w:val="22"/>
                <w:szCs w:val="24"/>
              </w:rPr>
              <w:lastRenderedPageBreak/>
              <w:t>Stafford BC</w:t>
            </w:r>
          </w:p>
        </w:tc>
        <w:tc>
          <w:tcPr>
            <w:tcW w:w="2557" w:type="dxa"/>
          </w:tcPr>
          <w:p w14:paraId="052BE153" w14:textId="77777777" w:rsidR="00111F8F" w:rsidRDefault="00111F8F" w:rsidP="003E7D52">
            <w:pPr>
              <w:rPr>
                <w:sz w:val="22"/>
                <w:szCs w:val="24"/>
              </w:rPr>
            </w:pPr>
            <w:r>
              <w:rPr>
                <w:sz w:val="22"/>
                <w:szCs w:val="24"/>
              </w:rPr>
              <w:t>Stafford</w:t>
            </w:r>
          </w:p>
        </w:tc>
        <w:tc>
          <w:tcPr>
            <w:tcW w:w="5327" w:type="dxa"/>
          </w:tcPr>
          <w:p w14:paraId="7F6FDC21" w14:textId="77777777" w:rsidR="00111F8F" w:rsidRDefault="00111F8F" w:rsidP="003E7D52">
            <w:pPr>
              <w:rPr>
                <w:sz w:val="22"/>
                <w:szCs w:val="24"/>
              </w:rPr>
            </w:pPr>
            <w:r>
              <w:rPr>
                <w:sz w:val="22"/>
                <w:szCs w:val="24"/>
              </w:rPr>
              <w:t>Investment includes improvement to the market square in</w:t>
            </w:r>
            <w:r w:rsidRPr="00C84540">
              <w:rPr>
                <w:sz w:val="22"/>
                <w:szCs w:val="24"/>
              </w:rPr>
              <w:t xml:space="preserve"> the heart of the Town Centre. A seasonal venue and space for market</w:t>
            </w:r>
            <w:r>
              <w:rPr>
                <w:sz w:val="22"/>
                <w:szCs w:val="24"/>
              </w:rPr>
              <w:t xml:space="preserve">s, </w:t>
            </w:r>
            <w:r w:rsidRPr="00C84540">
              <w:rPr>
                <w:sz w:val="22"/>
                <w:szCs w:val="24"/>
              </w:rPr>
              <w:t>events</w:t>
            </w:r>
            <w:r>
              <w:rPr>
                <w:sz w:val="22"/>
                <w:szCs w:val="24"/>
              </w:rPr>
              <w:t xml:space="preserve"> and activities. </w:t>
            </w:r>
          </w:p>
        </w:tc>
      </w:tr>
      <w:tr w:rsidR="00B64EBB" w14:paraId="1FABE44A" w14:textId="77777777" w:rsidTr="00B64EBB">
        <w:tc>
          <w:tcPr>
            <w:tcW w:w="2522" w:type="dxa"/>
          </w:tcPr>
          <w:p w14:paraId="6220F6FE" w14:textId="77777777" w:rsidR="00111F8F" w:rsidRDefault="00111F8F" w:rsidP="003E7D52">
            <w:pPr>
              <w:rPr>
                <w:sz w:val="22"/>
                <w:szCs w:val="24"/>
              </w:rPr>
            </w:pPr>
            <w:r>
              <w:rPr>
                <w:sz w:val="22"/>
                <w:szCs w:val="24"/>
              </w:rPr>
              <w:t>Tamworth BC</w:t>
            </w:r>
          </w:p>
        </w:tc>
        <w:tc>
          <w:tcPr>
            <w:tcW w:w="2557" w:type="dxa"/>
          </w:tcPr>
          <w:p w14:paraId="25B05A53" w14:textId="77777777" w:rsidR="00111F8F" w:rsidRDefault="00111F8F" w:rsidP="003E7D52">
            <w:pPr>
              <w:rPr>
                <w:sz w:val="22"/>
                <w:szCs w:val="24"/>
              </w:rPr>
            </w:pPr>
            <w:r>
              <w:rPr>
                <w:sz w:val="22"/>
                <w:szCs w:val="24"/>
              </w:rPr>
              <w:t xml:space="preserve">Tamworth </w:t>
            </w:r>
          </w:p>
        </w:tc>
        <w:tc>
          <w:tcPr>
            <w:tcW w:w="5327" w:type="dxa"/>
          </w:tcPr>
          <w:p w14:paraId="7985DE3E" w14:textId="77777777" w:rsidR="00111F8F" w:rsidRDefault="00111F8F" w:rsidP="003E7D52">
            <w:pPr>
              <w:rPr>
                <w:sz w:val="22"/>
                <w:szCs w:val="24"/>
              </w:rPr>
            </w:pPr>
            <w:r>
              <w:rPr>
                <w:sz w:val="22"/>
                <w:szCs w:val="24"/>
              </w:rPr>
              <w:t xml:space="preserve">Redeveloping St Editha’s Square into a new look, multi-purpose outdoor space. </w:t>
            </w:r>
          </w:p>
        </w:tc>
      </w:tr>
      <w:tr w:rsidR="00B64EBB" w14:paraId="44CF5580" w14:textId="77777777" w:rsidTr="00B64EBB">
        <w:tc>
          <w:tcPr>
            <w:tcW w:w="2522" w:type="dxa"/>
          </w:tcPr>
          <w:p w14:paraId="2061B6CA" w14:textId="77777777" w:rsidR="00111F8F" w:rsidRDefault="00111F8F" w:rsidP="003E7D52">
            <w:pPr>
              <w:rPr>
                <w:sz w:val="22"/>
                <w:szCs w:val="24"/>
              </w:rPr>
            </w:pPr>
            <w:r>
              <w:rPr>
                <w:sz w:val="22"/>
                <w:szCs w:val="24"/>
              </w:rPr>
              <w:t>Rotherham Metropolitan BC</w:t>
            </w:r>
          </w:p>
        </w:tc>
        <w:tc>
          <w:tcPr>
            <w:tcW w:w="2557" w:type="dxa"/>
          </w:tcPr>
          <w:p w14:paraId="5FAE16EF" w14:textId="77777777" w:rsidR="00111F8F" w:rsidRDefault="00111F8F" w:rsidP="003E7D52">
            <w:pPr>
              <w:rPr>
                <w:sz w:val="22"/>
                <w:szCs w:val="24"/>
              </w:rPr>
            </w:pPr>
            <w:r>
              <w:rPr>
                <w:sz w:val="22"/>
                <w:szCs w:val="24"/>
              </w:rPr>
              <w:t xml:space="preserve">Rotherham </w:t>
            </w:r>
          </w:p>
        </w:tc>
        <w:tc>
          <w:tcPr>
            <w:tcW w:w="5327" w:type="dxa"/>
          </w:tcPr>
          <w:p w14:paraId="34B2A777" w14:textId="77777777" w:rsidR="00111F8F" w:rsidRDefault="00111F8F" w:rsidP="003E7D52">
            <w:pPr>
              <w:rPr>
                <w:sz w:val="22"/>
                <w:szCs w:val="24"/>
              </w:rPr>
            </w:pPr>
            <w:r w:rsidRPr="00E12F53">
              <w:rPr>
                <w:sz w:val="22"/>
                <w:szCs w:val="24"/>
              </w:rPr>
              <w:t xml:space="preserve">Rotherham Markets will be redeveloped to </w:t>
            </w:r>
            <w:r>
              <w:rPr>
                <w:sz w:val="22"/>
                <w:szCs w:val="24"/>
              </w:rPr>
              <w:t xml:space="preserve">deliver a </w:t>
            </w:r>
            <w:r w:rsidRPr="00E12F53">
              <w:rPr>
                <w:sz w:val="22"/>
                <w:szCs w:val="24"/>
              </w:rPr>
              <w:t>high quality public realm, pioneering new</w:t>
            </w:r>
            <w:r>
              <w:rPr>
                <w:sz w:val="22"/>
                <w:szCs w:val="24"/>
              </w:rPr>
              <w:t xml:space="preserve"> a</w:t>
            </w:r>
            <w:r w:rsidRPr="00E12F53">
              <w:rPr>
                <w:sz w:val="22"/>
                <w:szCs w:val="24"/>
              </w:rPr>
              <w:t xml:space="preserve"> flexible shared space of markets, libraries, and community hubs.</w:t>
            </w:r>
          </w:p>
        </w:tc>
      </w:tr>
      <w:tr w:rsidR="00B64EBB" w14:paraId="21C6C3E3" w14:textId="77777777" w:rsidTr="00B64EBB">
        <w:tc>
          <w:tcPr>
            <w:tcW w:w="2522" w:type="dxa"/>
          </w:tcPr>
          <w:p w14:paraId="610FDE19" w14:textId="77777777" w:rsidR="00111F8F" w:rsidRDefault="00111F8F" w:rsidP="003E7D52">
            <w:pPr>
              <w:rPr>
                <w:sz w:val="22"/>
                <w:szCs w:val="24"/>
              </w:rPr>
            </w:pPr>
            <w:r>
              <w:rPr>
                <w:sz w:val="22"/>
                <w:szCs w:val="24"/>
              </w:rPr>
              <w:t>Fenland DC</w:t>
            </w:r>
          </w:p>
        </w:tc>
        <w:tc>
          <w:tcPr>
            <w:tcW w:w="2557" w:type="dxa"/>
          </w:tcPr>
          <w:p w14:paraId="38C853AD" w14:textId="77777777" w:rsidR="00111F8F" w:rsidRDefault="00111F8F" w:rsidP="003E7D52">
            <w:pPr>
              <w:rPr>
                <w:sz w:val="22"/>
                <w:szCs w:val="24"/>
              </w:rPr>
            </w:pPr>
            <w:r>
              <w:rPr>
                <w:sz w:val="22"/>
                <w:szCs w:val="24"/>
              </w:rPr>
              <w:t xml:space="preserve">March </w:t>
            </w:r>
          </w:p>
        </w:tc>
        <w:tc>
          <w:tcPr>
            <w:tcW w:w="5327" w:type="dxa"/>
          </w:tcPr>
          <w:p w14:paraId="783EF194" w14:textId="77777777" w:rsidR="00111F8F" w:rsidRPr="00E12F53" w:rsidRDefault="00111F8F" w:rsidP="003E7D52">
            <w:pPr>
              <w:rPr>
                <w:sz w:val="22"/>
                <w:szCs w:val="24"/>
              </w:rPr>
            </w:pPr>
            <w:r>
              <w:rPr>
                <w:sz w:val="22"/>
                <w:szCs w:val="24"/>
              </w:rPr>
              <w:t xml:space="preserve">Creating </w:t>
            </w:r>
            <w:r w:rsidRPr="00883A18">
              <w:rPr>
                <w:sz w:val="22"/>
                <w:szCs w:val="24"/>
              </w:rPr>
              <w:t xml:space="preserve">a  new  market  square  with  improved  infrastructure  to  support  the town’s  market  offer.  </w:t>
            </w:r>
          </w:p>
        </w:tc>
      </w:tr>
      <w:tr w:rsidR="00B64EBB" w14:paraId="5F29787B" w14:textId="77777777" w:rsidTr="00B64EBB">
        <w:tc>
          <w:tcPr>
            <w:tcW w:w="2522" w:type="dxa"/>
          </w:tcPr>
          <w:p w14:paraId="61559E86" w14:textId="77777777" w:rsidR="00111F8F" w:rsidRDefault="00111F8F" w:rsidP="003E7D52">
            <w:pPr>
              <w:rPr>
                <w:sz w:val="22"/>
                <w:szCs w:val="24"/>
              </w:rPr>
            </w:pPr>
            <w:r>
              <w:rPr>
                <w:sz w:val="22"/>
                <w:szCs w:val="24"/>
              </w:rPr>
              <w:t>Huntingdonshire DC</w:t>
            </w:r>
          </w:p>
        </w:tc>
        <w:tc>
          <w:tcPr>
            <w:tcW w:w="2557" w:type="dxa"/>
          </w:tcPr>
          <w:p w14:paraId="2CAF6A53" w14:textId="77777777" w:rsidR="00111F8F" w:rsidRDefault="00111F8F" w:rsidP="003E7D52">
            <w:pPr>
              <w:rPr>
                <w:sz w:val="22"/>
                <w:szCs w:val="24"/>
              </w:rPr>
            </w:pPr>
            <w:r>
              <w:rPr>
                <w:sz w:val="22"/>
                <w:szCs w:val="24"/>
              </w:rPr>
              <w:t>St Neots</w:t>
            </w:r>
          </w:p>
        </w:tc>
        <w:tc>
          <w:tcPr>
            <w:tcW w:w="5327" w:type="dxa"/>
          </w:tcPr>
          <w:p w14:paraId="608EBE5A" w14:textId="77777777" w:rsidR="00111F8F" w:rsidRDefault="00111F8F" w:rsidP="003E7D52">
            <w:pPr>
              <w:rPr>
                <w:sz w:val="22"/>
                <w:szCs w:val="24"/>
              </w:rPr>
            </w:pPr>
            <w:r w:rsidRPr="00385C6F">
              <w:rPr>
                <w:sz w:val="22"/>
                <w:szCs w:val="24"/>
              </w:rPr>
              <w:t>Transformation of the Market Square to serve as the central public space within the town where events can be held, people can gather, relax, and socialise. Creation of the flexible space that will accommodate a range of functions and events.</w:t>
            </w:r>
          </w:p>
        </w:tc>
      </w:tr>
    </w:tbl>
    <w:tbl>
      <w:tblPr>
        <w:tblStyle w:val="TableGrid"/>
        <w:tblpPr w:leftFromText="180" w:rightFromText="180" w:vertAnchor="text" w:horzAnchor="margin" w:tblpY="9"/>
        <w:tblW w:w="0" w:type="auto"/>
        <w:tblLook w:val="04A0" w:firstRow="1" w:lastRow="0" w:firstColumn="1" w:lastColumn="0" w:noHBand="0" w:noVBand="1"/>
      </w:tblPr>
      <w:tblGrid>
        <w:gridCol w:w="2536"/>
        <w:gridCol w:w="2537"/>
        <w:gridCol w:w="5333"/>
      </w:tblGrid>
      <w:tr w:rsidR="003E7D52" w14:paraId="2DA0511E" w14:textId="77777777" w:rsidTr="00B64EBB">
        <w:tc>
          <w:tcPr>
            <w:tcW w:w="10406" w:type="dxa"/>
            <w:gridSpan w:val="3"/>
            <w:tcBorders>
              <w:top w:val="single" w:sz="24" w:space="0" w:color="auto"/>
              <w:left w:val="single" w:sz="24" w:space="0" w:color="auto"/>
              <w:bottom w:val="single" w:sz="24" w:space="0" w:color="auto"/>
              <w:right w:val="single" w:sz="24" w:space="0" w:color="auto"/>
            </w:tcBorders>
          </w:tcPr>
          <w:p w14:paraId="221F80E3" w14:textId="77777777" w:rsidR="003E7D52" w:rsidRDefault="003E7D52" w:rsidP="003E7D52">
            <w:pPr>
              <w:jc w:val="center"/>
              <w:rPr>
                <w:b/>
                <w:bCs/>
                <w:sz w:val="22"/>
                <w:szCs w:val="24"/>
              </w:rPr>
            </w:pPr>
            <w:r>
              <w:rPr>
                <w:b/>
                <w:bCs/>
                <w:sz w:val="22"/>
                <w:szCs w:val="24"/>
              </w:rPr>
              <w:t>Build Back Better portion (‘accelerated funding’)</w:t>
            </w:r>
          </w:p>
        </w:tc>
      </w:tr>
      <w:tr w:rsidR="003E7D52" w14:paraId="18617D4F" w14:textId="77777777" w:rsidTr="00B64EBB">
        <w:tc>
          <w:tcPr>
            <w:tcW w:w="2536" w:type="dxa"/>
          </w:tcPr>
          <w:p w14:paraId="7A54BEC4" w14:textId="0943AC19" w:rsidR="003E7D52" w:rsidRPr="00862BB2" w:rsidRDefault="00714F3B" w:rsidP="003E7D52">
            <w:pPr>
              <w:rPr>
                <w:b/>
                <w:bCs/>
                <w:sz w:val="22"/>
                <w:szCs w:val="24"/>
              </w:rPr>
            </w:pPr>
            <w:r>
              <w:rPr>
                <w:b/>
                <w:bCs/>
                <w:sz w:val="22"/>
                <w:szCs w:val="24"/>
              </w:rPr>
              <w:t>Town</w:t>
            </w:r>
          </w:p>
        </w:tc>
        <w:tc>
          <w:tcPr>
            <w:tcW w:w="2537" w:type="dxa"/>
          </w:tcPr>
          <w:p w14:paraId="2027615D" w14:textId="77777777" w:rsidR="003E7D52" w:rsidRPr="00862BB2" w:rsidRDefault="003E7D52" w:rsidP="003E7D52">
            <w:pPr>
              <w:rPr>
                <w:b/>
                <w:bCs/>
                <w:sz w:val="22"/>
                <w:szCs w:val="24"/>
              </w:rPr>
            </w:pPr>
            <w:r>
              <w:rPr>
                <w:b/>
                <w:bCs/>
                <w:sz w:val="22"/>
                <w:szCs w:val="24"/>
              </w:rPr>
              <w:t>Intervention</w:t>
            </w:r>
          </w:p>
        </w:tc>
        <w:tc>
          <w:tcPr>
            <w:tcW w:w="5333" w:type="dxa"/>
          </w:tcPr>
          <w:p w14:paraId="21CEDF84" w14:textId="77777777" w:rsidR="003E7D52" w:rsidRPr="00862BB2" w:rsidRDefault="003E7D52" w:rsidP="003E7D52">
            <w:pPr>
              <w:rPr>
                <w:b/>
                <w:bCs/>
                <w:sz w:val="22"/>
                <w:szCs w:val="24"/>
              </w:rPr>
            </w:pPr>
            <w:r>
              <w:rPr>
                <w:b/>
                <w:bCs/>
                <w:sz w:val="22"/>
                <w:szCs w:val="24"/>
              </w:rPr>
              <w:t>Description</w:t>
            </w:r>
          </w:p>
        </w:tc>
      </w:tr>
      <w:tr w:rsidR="003E7D52" w14:paraId="3323E9C9" w14:textId="77777777" w:rsidTr="00B64EBB">
        <w:tc>
          <w:tcPr>
            <w:tcW w:w="2536" w:type="dxa"/>
          </w:tcPr>
          <w:p w14:paraId="6F10F592" w14:textId="473AA8CA" w:rsidR="003E7D52" w:rsidRDefault="00714F3B" w:rsidP="003E7D52">
            <w:pPr>
              <w:rPr>
                <w:sz w:val="22"/>
                <w:szCs w:val="24"/>
              </w:rPr>
            </w:pPr>
            <w:r>
              <w:rPr>
                <w:sz w:val="22"/>
                <w:szCs w:val="24"/>
              </w:rPr>
              <w:t>Kirby-In-Ashfield</w:t>
            </w:r>
          </w:p>
        </w:tc>
        <w:tc>
          <w:tcPr>
            <w:tcW w:w="2537" w:type="dxa"/>
          </w:tcPr>
          <w:p w14:paraId="78A9D2E1" w14:textId="3719BF03" w:rsidR="003E7D52" w:rsidRDefault="00602AC3" w:rsidP="003E7D52">
            <w:pPr>
              <w:rPr>
                <w:sz w:val="22"/>
                <w:szCs w:val="24"/>
              </w:rPr>
            </w:pPr>
            <w:r>
              <w:rPr>
                <w:sz w:val="22"/>
                <w:szCs w:val="24"/>
              </w:rPr>
              <w:t>1-3 Lowmoor Road</w:t>
            </w:r>
          </w:p>
        </w:tc>
        <w:tc>
          <w:tcPr>
            <w:tcW w:w="5333" w:type="dxa"/>
          </w:tcPr>
          <w:p w14:paraId="260BF0DC" w14:textId="4FC26766" w:rsidR="003E7D52" w:rsidRDefault="00602AC3" w:rsidP="00602AC3">
            <w:pPr>
              <w:rPr>
                <w:sz w:val="22"/>
                <w:szCs w:val="24"/>
              </w:rPr>
            </w:pPr>
            <w:r>
              <w:rPr>
                <w:sz w:val="22"/>
                <w:szCs w:val="24"/>
              </w:rPr>
              <w:t>C</w:t>
            </w:r>
            <w:r w:rsidRPr="00602AC3">
              <w:rPr>
                <w:sz w:val="22"/>
                <w:szCs w:val="24"/>
              </w:rPr>
              <w:t>onversion of vacant units on Lowmoor Road in Kirkby Town Centre to an indoor market with residential on the upper floor.</w:t>
            </w:r>
          </w:p>
        </w:tc>
      </w:tr>
      <w:tr w:rsidR="003E7D52" w14:paraId="7641FDD1" w14:textId="77777777" w:rsidTr="00B64EBB">
        <w:tc>
          <w:tcPr>
            <w:tcW w:w="2536" w:type="dxa"/>
          </w:tcPr>
          <w:p w14:paraId="03CC90E6" w14:textId="54FA5A72" w:rsidR="003E7D52" w:rsidRDefault="002C119D" w:rsidP="003E7D52">
            <w:pPr>
              <w:rPr>
                <w:sz w:val="22"/>
                <w:szCs w:val="24"/>
              </w:rPr>
            </w:pPr>
            <w:r>
              <w:rPr>
                <w:sz w:val="22"/>
                <w:szCs w:val="24"/>
              </w:rPr>
              <w:t>Bishop Auckland</w:t>
            </w:r>
          </w:p>
        </w:tc>
        <w:tc>
          <w:tcPr>
            <w:tcW w:w="2537" w:type="dxa"/>
          </w:tcPr>
          <w:p w14:paraId="59DF88F7" w14:textId="593ADF31" w:rsidR="003E7D52" w:rsidRDefault="002C119D" w:rsidP="003E7D52">
            <w:pPr>
              <w:rPr>
                <w:sz w:val="22"/>
                <w:szCs w:val="24"/>
              </w:rPr>
            </w:pPr>
            <w:r>
              <w:rPr>
                <w:sz w:val="22"/>
                <w:szCs w:val="24"/>
              </w:rPr>
              <w:t>Love Food</w:t>
            </w:r>
          </w:p>
        </w:tc>
        <w:tc>
          <w:tcPr>
            <w:tcW w:w="5333" w:type="dxa"/>
          </w:tcPr>
          <w:p w14:paraId="6F965B85" w14:textId="333B7808" w:rsidR="003E7D52" w:rsidRDefault="003A1887" w:rsidP="003E7D52">
            <w:pPr>
              <w:rPr>
                <w:sz w:val="22"/>
                <w:szCs w:val="24"/>
              </w:rPr>
            </w:pPr>
            <w:r w:rsidRPr="003A1887">
              <w:rPr>
                <w:sz w:val="22"/>
                <w:szCs w:val="24"/>
              </w:rPr>
              <w:t>Creation of a pop up food shop showcasing local produce and providing much-needed business space in the town centre.</w:t>
            </w:r>
          </w:p>
        </w:tc>
      </w:tr>
      <w:tr w:rsidR="003E7D52" w14:paraId="306AE2DA" w14:textId="77777777" w:rsidTr="00B64EBB">
        <w:tc>
          <w:tcPr>
            <w:tcW w:w="2536" w:type="dxa"/>
          </w:tcPr>
          <w:p w14:paraId="5CB3288B" w14:textId="0B0902E7" w:rsidR="003E7D52" w:rsidRDefault="00B10EA1" w:rsidP="003E7D52">
            <w:pPr>
              <w:rPr>
                <w:sz w:val="22"/>
                <w:szCs w:val="24"/>
              </w:rPr>
            </w:pPr>
            <w:r>
              <w:rPr>
                <w:sz w:val="22"/>
                <w:szCs w:val="24"/>
              </w:rPr>
              <w:t>Goldthorpe</w:t>
            </w:r>
          </w:p>
        </w:tc>
        <w:tc>
          <w:tcPr>
            <w:tcW w:w="2537" w:type="dxa"/>
          </w:tcPr>
          <w:p w14:paraId="602752CE" w14:textId="31017FFD" w:rsidR="003E7D52" w:rsidRDefault="00E50ABB" w:rsidP="00E50ABB">
            <w:pPr>
              <w:rPr>
                <w:sz w:val="22"/>
                <w:szCs w:val="24"/>
              </w:rPr>
            </w:pPr>
            <w:r>
              <w:rPr>
                <w:sz w:val="22"/>
                <w:szCs w:val="24"/>
              </w:rPr>
              <w:t>Public Square</w:t>
            </w:r>
          </w:p>
        </w:tc>
        <w:tc>
          <w:tcPr>
            <w:tcW w:w="5333" w:type="dxa"/>
          </w:tcPr>
          <w:p w14:paraId="5FA0A1C5" w14:textId="1A8DF1EA" w:rsidR="003E7D52" w:rsidRDefault="00E50ABB" w:rsidP="003E7D52">
            <w:pPr>
              <w:rPr>
                <w:sz w:val="22"/>
                <w:szCs w:val="24"/>
              </w:rPr>
            </w:pPr>
            <w:r w:rsidRPr="00E50ABB">
              <w:rPr>
                <w:sz w:val="22"/>
                <w:szCs w:val="24"/>
              </w:rPr>
              <w:t>Acquisition and demolition</w:t>
            </w:r>
            <w:r>
              <w:rPr>
                <w:sz w:val="22"/>
                <w:szCs w:val="24"/>
              </w:rPr>
              <w:t xml:space="preserve"> </w:t>
            </w:r>
            <w:r w:rsidRPr="00E50ABB">
              <w:rPr>
                <w:sz w:val="22"/>
                <w:szCs w:val="24"/>
              </w:rPr>
              <w:t xml:space="preserve">to make way for new public </w:t>
            </w:r>
            <w:proofErr w:type="gramStart"/>
            <w:r w:rsidRPr="00E50ABB">
              <w:rPr>
                <w:sz w:val="22"/>
                <w:szCs w:val="24"/>
              </w:rPr>
              <w:t>square;</w:t>
            </w:r>
            <w:proofErr w:type="gramEnd"/>
            <w:r w:rsidRPr="00E50ABB">
              <w:rPr>
                <w:sz w:val="22"/>
                <w:szCs w:val="24"/>
              </w:rPr>
              <w:t xml:space="preserve"> alongside clearance of dilapidated former market site</w:t>
            </w:r>
            <w:r>
              <w:rPr>
                <w:sz w:val="22"/>
                <w:szCs w:val="24"/>
              </w:rPr>
              <w:t xml:space="preserve">. </w:t>
            </w:r>
          </w:p>
        </w:tc>
      </w:tr>
      <w:tr w:rsidR="003E7D52" w14:paraId="61487156" w14:textId="77777777" w:rsidTr="00B64EBB">
        <w:tc>
          <w:tcPr>
            <w:tcW w:w="2536" w:type="dxa"/>
          </w:tcPr>
          <w:p w14:paraId="0F8D8856" w14:textId="7C16D71A" w:rsidR="003E7D52" w:rsidRDefault="001F0A68" w:rsidP="003E7D52">
            <w:pPr>
              <w:rPr>
                <w:sz w:val="22"/>
                <w:szCs w:val="24"/>
              </w:rPr>
            </w:pPr>
            <w:r>
              <w:rPr>
                <w:sz w:val="22"/>
                <w:szCs w:val="24"/>
              </w:rPr>
              <w:t>Southport</w:t>
            </w:r>
          </w:p>
        </w:tc>
        <w:tc>
          <w:tcPr>
            <w:tcW w:w="2537" w:type="dxa"/>
          </w:tcPr>
          <w:p w14:paraId="43B3F521" w14:textId="18455EA3" w:rsidR="003E7D52" w:rsidRDefault="00501B16" w:rsidP="003E7D52">
            <w:pPr>
              <w:rPr>
                <w:sz w:val="22"/>
                <w:szCs w:val="24"/>
              </w:rPr>
            </w:pPr>
            <w:r>
              <w:rPr>
                <w:sz w:val="22"/>
                <w:szCs w:val="24"/>
              </w:rPr>
              <w:t>Southport Market</w:t>
            </w:r>
          </w:p>
        </w:tc>
        <w:tc>
          <w:tcPr>
            <w:tcW w:w="5333" w:type="dxa"/>
          </w:tcPr>
          <w:p w14:paraId="69CFBB11" w14:textId="7BEFB5A6" w:rsidR="003E7D52" w:rsidRDefault="00501B16" w:rsidP="003E7D52">
            <w:pPr>
              <w:rPr>
                <w:sz w:val="22"/>
                <w:szCs w:val="24"/>
              </w:rPr>
            </w:pPr>
            <w:r>
              <w:rPr>
                <w:sz w:val="22"/>
                <w:szCs w:val="24"/>
              </w:rPr>
              <w:t>T</w:t>
            </w:r>
            <w:r w:rsidRPr="00501B16">
              <w:rPr>
                <w:sz w:val="22"/>
                <w:szCs w:val="24"/>
              </w:rPr>
              <w:t>ransformation of the existing Southport Market into a Food and Drink offer with a flexible space for markets and other events</w:t>
            </w:r>
            <w:r w:rsidR="005E18C1">
              <w:rPr>
                <w:sz w:val="22"/>
                <w:szCs w:val="24"/>
              </w:rPr>
              <w:t xml:space="preserve">. </w:t>
            </w:r>
            <w:r w:rsidR="005E18C1" w:rsidRPr="005E18C1">
              <w:rPr>
                <w:sz w:val="22"/>
                <w:szCs w:val="24"/>
              </w:rPr>
              <w:t>The project has also seen the creation of 11 new businesses and the safeguarding of 1.</w:t>
            </w:r>
          </w:p>
        </w:tc>
      </w:tr>
    </w:tbl>
    <w:p w14:paraId="7859717C" w14:textId="1F33AE20" w:rsidR="00503160" w:rsidRDefault="00545325" w:rsidP="006D5BA5">
      <w:pPr>
        <w:rPr>
          <w:sz w:val="22"/>
          <w:szCs w:val="24"/>
          <w:u w:val="single"/>
        </w:rPr>
      </w:pPr>
      <w:r>
        <w:rPr>
          <w:sz w:val="22"/>
          <w:szCs w:val="24"/>
          <w:u w:val="single"/>
        </w:rPr>
        <w:t xml:space="preserve"> </w:t>
      </w:r>
    </w:p>
    <w:p w14:paraId="1C057254" w14:textId="486C6027" w:rsidR="00545325" w:rsidRPr="00545325" w:rsidRDefault="00545325" w:rsidP="006D5BA5">
      <w:pPr>
        <w:rPr>
          <w:sz w:val="22"/>
          <w:szCs w:val="24"/>
          <w:u w:val="single"/>
        </w:rPr>
      </w:pPr>
    </w:p>
    <w:p w14:paraId="39B2F84B" w14:textId="77777777" w:rsidR="00503160" w:rsidRPr="00503160" w:rsidRDefault="00503160" w:rsidP="00503160">
      <w:pPr>
        <w:rPr>
          <w:sz w:val="18"/>
          <w:szCs w:val="20"/>
        </w:rPr>
      </w:pPr>
    </w:p>
    <w:p w14:paraId="6685B4D9" w14:textId="77777777" w:rsidR="00503160" w:rsidRPr="00503160" w:rsidRDefault="00503160" w:rsidP="00503160">
      <w:pPr>
        <w:rPr>
          <w:sz w:val="18"/>
          <w:szCs w:val="20"/>
        </w:rPr>
      </w:pPr>
    </w:p>
    <w:sectPr w:rsidR="00503160" w:rsidRPr="00503160" w:rsidSect="00503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52C2"/>
    <w:multiLevelType w:val="hybridMultilevel"/>
    <w:tmpl w:val="2166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A5E27"/>
    <w:multiLevelType w:val="hybridMultilevel"/>
    <w:tmpl w:val="8042E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60"/>
    <w:rsid w:val="00012A91"/>
    <w:rsid w:val="0002135B"/>
    <w:rsid w:val="00026892"/>
    <w:rsid w:val="0006570F"/>
    <w:rsid w:val="000B367C"/>
    <w:rsid w:val="000B595D"/>
    <w:rsid w:val="000B7645"/>
    <w:rsid w:val="001058EC"/>
    <w:rsid w:val="00111F8F"/>
    <w:rsid w:val="001277BE"/>
    <w:rsid w:val="00127F11"/>
    <w:rsid w:val="0014153A"/>
    <w:rsid w:val="00152259"/>
    <w:rsid w:val="00157D96"/>
    <w:rsid w:val="00171CA7"/>
    <w:rsid w:val="001908AC"/>
    <w:rsid w:val="001B329B"/>
    <w:rsid w:val="001D4881"/>
    <w:rsid w:val="001E0BD2"/>
    <w:rsid w:val="001E4D73"/>
    <w:rsid w:val="001F048B"/>
    <w:rsid w:val="001F0A68"/>
    <w:rsid w:val="001F7F12"/>
    <w:rsid w:val="002366C6"/>
    <w:rsid w:val="002423C7"/>
    <w:rsid w:val="002608AC"/>
    <w:rsid w:val="0026588A"/>
    <w:rsid w:val="002C119D"/>
    <w:rsid w:val="002C22C6"/>
    <w:rsid w:val="002E364F"/>
    <w:rsid w:val="00335EEA"/>
    <w:rsid w:val="0034671E"/>
    <w:rsid w:val="00382D9B"/>
    <w:rsid w:val="00385C6F"/>
    <w:rsid w:val="0039700F"/>
    <w:rsid w:val="003A1887"/>
    <w:rsid w:val="003E7D52"/>
    <w:rsid w:val="00497D3E"/>
    <w:rsid w:val="004A2A76"/>
    <w:rsid w:val="004D79FE"/>
    <w:rsid w:val="0050001D"/>
    <w:rsid w:val="00501B16"/>
    <w:rsid w:val="00503160"/>
    <w:rsid w:val="0050599C"/>
    <w:rsid w:val="005134A5"/>
    <w:rsid w:val="00545325"/>
    <w:rsid w:val="005610E3"/>
    <w:rsid w:val="00565754"/>
    <w:rsid w:val="005A20CC"/>
    <w:rsid w:val="005E18C1"/>
    <w:rsid w:val="005F5FBE"/>
    <w:rsid w:val="006008F7"/>
    <w:rsid w:val="00602AC3"/>
    <w:rsid w:val="00604DC9"/>
    <w:rsid w:val="00625F90"/>
    <w:rsid w:val="006265D7"/>
    <w:rsid w:val="00660147"/>
    <w:rsid w:val="00677369"/>
    <w:rsid w:val="00677D8C"/>
    <w:rsid w:val="006A0672"/>
    <w:rsid w:val="006B244E"/>
    <w:rsid w:val="006D1C49"/>
    <w:rsid w:val="006D52AF"/>
    <w:rsid w:val="006D5BA5"/>
    <w:rsid w:val="006D6632"/>
    <w:rsid w:val="006F2F1D"/>
    <w:rsid w:val="00707B1B"/>
    <w:rsid w:val="00714F3B"/>
    <w:rsid w:val="00717B58"/>
    <w:rsid w:val="00761CBE"/>
    <w:rsid w:val="007667A2"/>
    <w:rsid w:val="00781FB0"/>
    <w:rsid w:val="00790356"/>
    <w:rsid w:val="007F326B"/>
    <w:rsid w:val="00817EC3"/>
    <w:rsid w:val="00844A59"/>
    <w:rsid w:val="00862BB2"/>
    <w:rsid w:val="0086419B"/>
    <w:rsid w:val="00883A18"/>
    <w:rsid w:val="00883DE6"/>
    <w:rsid w:val="008850BD"/>
    <w:rsid w:val="00910A68"/>
    <w:rsid w:val="00915FF0"/>
    <w:rsid w:val="00926A96"/>
    <w:rsid w:val="009320CB"/>
    <w:rsid w:val="009558E2"/>
    <w:rsid w:val="00982650"/>
    <w:rsid w:val="009B0B55"/>
    <w:rsid w:val="009F322A"/>
    <w:rsid w:val="00A04B60"/>
    <w:rsid w:val="00A1400A"/>
    <w:rsid w:val="00A35536"/>
    <w:rsid w:val="00A468C4"/>
    <w:rsid w:val="00A96E81"/>
    <w:rsid w:val="00AD097C"/>
    <w:rsid w:val="00AE3C7B"/>
    <w:rsid w:val="00B10EA1"/>
    <w:rsid w:val="00B33C8F"/>
    <w:rsid w:val="00B64EBB"/>
    <w:rsid w:val="00B73A2B"/>
    <w:rsid w:val="00B80C56"/>
    <w:rsid w:val="00B8517C"/>
    <w:rsid w:val="00B917CD"/>
    <w:rsid w:val="00B9416F"/>
    <w:rsid w:val="00B962A7"/>
    <w:rsid w:val="00BA0E4D"/>
    <w:rsid w:val="00BA74EE"/>
    <w:rsid w:val="00BB043E"/>
    <w:rsid w:val="00BC1950"/>
    <w:rsid w:val="00BD3EA0"/>
    <w:rsid w:val="00C06404"/>
    <w:rsid w:val="00C130CF"/>
    <w:rsid w:val="00C7334C"/>
    <w:rsid w:val="00C84540"/>
    <w:rsid w:val="00CD2166"/>
    <w:rsid w:val="00CE5918"/>
    <w:rsid w:val="00CF21C0"/>
    <w:rsid w:val="00CF5300"/>
    <w:rsid w:val="00D00D61"/>
    <w:rsid w:val="00D02D44"/>
    <w:rsid w:val="00D12ED5"/>
    <w:rsid w:val="00D2639B"/>
    <w:rsid w:val="00D411F3"/>
    <w:rsid w:val="00D514FA"/>
    <w:rsid w:val="00D8217B"/>
    <w:rsid w:val="00DA4A05"/>
    <w:rsid w:val="00DD27F4"/>
    <w:rsid w:val="00E06FC9"/>
    <w:rsid w:val="00E12F53"/>
    <w:rsid w:val="00E426D4"/>
    <w:rsid w:val="00E45595"/>
    <w:rsid w:val="00E50ABB"/>
    <w:rsid w:val="00E936BA"/>
    <w:rsid w:val="00EA0F41"/>
    <w:rsid w:val="00EA68A9"/>
    <w:rsid w:val="00EC0BD8"/>
    <w:rsid w:val="00ED3CDB"/>
    <w:rsid w:val="00F44605"/>
    <w:rsid w:val="00F750EB"/>
    <w:rsid w:val="00F75117"/>
    <w:rsid w:val="00FB13EB"/>
    <w:rsid w:val="00FE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2E9E"/>
  <w15:chartTrackingRefBased/>
  <w15:docId w15:val="{2D4AB4C4-AAA8-449B-958C-052C3C2E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7C"/>
    <w:rPr>
      <w:rFonts w:ascii="Arial" w:hAnsi="Arial"/>
      <w:sz w:val="20"/>
    </w:rPr>
  </w:style>
  <w:style w:type="paragraph" w:styleId="Heading1">
    <w:name w:val="heading 1"/>
    <w:basedOn w:val="Normal"/>
    <w:next w:val="Normal"/>
    <w:link w:val="Heading1Char"/>
    <w:uiPriority w:val="9"/>
    <w:qFormat/>
    <w:rsid w:val="00503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34671E"/>
    <w:pPr>
      <w:spacing w:after="0" w:line="240" w:lineRule="auto"/>
      <w:jc w:val="right"/>
    </w:pPr>
    <w:rPr>
      <w:sz w:val="12"/>
      <w:szCs w:val="20"/>
    </w:rPr>
  </w:style>
  <w:style w:type="character" w:customStyle="1" w:styleId="FootnoteTextChar">
    <w:name w:val="Footnote Text Char"/>
    <w:basedOn w:val="DefaultParagraphFont"/>
    <w:link w:val="FootnoteText"/>
    <w:uiPriority w:val="99"/>
    <w:semiHidden/>
    <w:rsid w:val="0034671E"/>
    <w:rPr>
      <w:rFonts w:ascii="Arial" w:hAnsi="Arial"/>
      <w:sz w:val="12"/>
      <w:szCs w:val="20"/>
    </w:rPr>
  </w:style>
  <w:style w:type="character" w:styleId="FootnoteReference">
    <w:name w:val="footnote reference"/>
    <w:basedOn w:val="DefaultParagraphFont"/>
    <w:uiPriority w:val="99"/>
    <w:semiHidden/>
    <w:unhideWhenUsed/>
    <w:rsid w:val="0034671E"/>
    <w:rPr>
      <w:vertAlign w:val="superscript"/>
    </w:rPr>
  </w:style>
  <w:style w:type="character" w:styleId="EndnoteReference">
    <w:name w:val="endnote reference"/>
    <w:basedOn w:val="DefaultParagraphFont"/>
    <w:uiPriority w:val="99"/>
    <w:semiHidden/>
    <w:unhideWhenUsed/>
    <w:rsid w:val="0034671E"/>
    <w:rPr>
      <w:vertAlign w:val="superscript"/>
    </w:rPr>
  </w:style>
  <w:style w:type="paragraph" w:styleId="EndnoteText">
    <w:name w:val="endnote text"/>
    <w:basedOn w:val="Normal"/>
    <w:link w:val="EndnoteTextChar"/>
    <w:uiPriority w:val="99"/>
    <w:semiHidden/>
    <w:unhideWhenUsed/>
    <w:rsid w:val="0034671E"/>
    <w:pPr>
      <w:spacing w:after="0" w:line="240" w:lineRule="auto"/>
    </w:pPr>
    <w:rPr>
      <w:szCs w:val="20"/>
    </w:rPr>
  </w:style>
  <w:style w:type="character" w:customStyle="1" w:styleId="EndnoteTextChar">
    <w:name w:val="Endnote Text Char"/>
    <w:basedOn w:val="DefaultParagraphFont"/>
    <w:link w:val="EndnoteText"/>
    <w:uiPriority w:val="99"/>
    <w:semiHidden/>
    <w:rsid w:val="0034671E"/>
    <w:rPr>
      <w:sz w:val="20"/>
      <w:szCs w:val="20"/>
    </w:rPr>
  </w:style>
  <w:style w:type="character" w:styleId="Hyperlink">
    <w:name w:val="Hyperlink"/>
    <w:basedOn w:val="DefaultParagraphFont"/>
    <w:uiPriority w:val="99"/>
    <w:unhideWhenUsed/>
    <w:rsid w:val="0034671E"/>
    <w:rPr>
      <w:color w:val="0563C1" w:themeColor="hyperlink"/>
      <w:u w:val="single"/>
    </w:rPr>
  </w:style>
  <w:style w:type="character" w:styleId="FollowedHyperlink">
    <w:name w:val="FollowedHyperlink"/>
    <w:basedOn w:val="DefaultParagraphFont"/>
    <w:uiPriority w:val="99"/>
    <w:semiHidden/>
    <w:unhideWhenUsed/>
    <w:rsid w:val="0034671E"/>
    <w:rPr>
      <w:color w:val="954F72" w:themeColor="followedHyperlink"/>
      <w:u w:val="single"/>
    </w:rPr>
  </w:style>
  <w:style w:type="paragraph" w:styleId="BalloonText">
    <w:name w:val="Balloon Text"/>
    <w:basedOn w:val="Normal"/>
    <w:link w:val="BalloonTextChar"/>
    <w:uiPriority w:val="99"/>
    <w:semiHidden/>
    <w:unhideWhenUsed/>
    <w:rsid w:val="00346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1E"/>
    <w:rPr>
      <w:rFonts w:ascii="Segoe UI" w:hAnsi="Segoe UI" w:cs="Segoe UI"/>
      <w:sz w:val="18"/>
      <w:szCs w:val="18"/>
    </w:rPr>
  </w:style>
  <w:style w:type="table" w:styleId="TableGrid">
    <w:name w:val="Table Grid"/>
    <w:basedOn w:val="TableNormal"/>
    <w:uiPriority w:val="39"/>
    <w:rsid w:val="0034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1E"/>
    <w:pPr>
      <w:ind w:left="720"/>
      <w:contextualSpacing/>
    </w:pPr>
  </w:style>
  <w:style w:type="table" w:styleId="PlainTable4">
    <w:name w:val="Plain Table 4"/>
    <w:basedOn w:val="TableNormal"/>
    <w:uiPriority w:val="44"/>
    <w:rsid w:val="003467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4671E"/>
    <w:rPr>
      <w:color w:val="605E5C"/>
      <w:shd w:val="clear" w:color="auto" w:fill="E1DFDD"/>
    </w:rPr>
  </w:style>
  <w:style w:type="table" w:styleId="TableGridLight">
    <w:name w:val="Grid Table Light"/>
    <w:basedOn w:val="TableNormal"/>
    <w:uiPriority w:val="40"/>
    <w:rsid w:val="00346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467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34671E"/>
    <w:pPr>
      <w:spacing w:line="240" w:lineRule="auto"/>
    </w:pPr>
    <w:rPr>
      <w:szCs w:val="20"/>
    </w:rPr>
  </w:style>
  <w:style w:type="character" w:customStyle="1" w:styleId="CommentTextChar">
    <w:name w:val="Comment Text Char"/>
    <w:basedOn w:val="DefaultParagraphFont"/>
    <w:link w:val="CommentText"/>
    <w:uiPriority w:val="99"/>
    <w:semiHidden/>
    <w:rsid w:val="0034671E"/>
    <w:rPr>
      <w:sz w:val="20"/>
      <w:szCs w:val="20"/>
    </w:rPr>
  </w:style>
  <w:style w:type="paragraph" w:styleId="Header">
    <w:name w:val="header"/>
    <w:basedOn w:val="Normal"/>
    <w:link w:val="HeaderChar"/>
    <w:uiPriority w:val="99"/>
    <w:semiHidden/>
    <w:unhideWhenUsed/>
    <w:rsid w:val="003467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671E"/>
  </w:style>
  <w:style w:type="paragraph" w:styleId="Footer">
    <w:name w:val="footer"/>
    <w:basedOn w:val="Normal"/>
    <w:link w:val="FooterChar"/>
    <w:uiPriority w:val="99"/>
    <w:semiHidden/>
    <w:unhideWhenUsed/>
    <w:rsid w:val="003467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671E"/>
  </w:style>
  <w:style w:type="character" w:styleId="CommentReference">
    <w:name w:val="annotation reference"/>
    <w:basedOn w:val="DefaultParagraphFont"/>
    <w:uiPriority w:val="99"/>
    <w:semiHidden/>
    <w:unhideWhenUsed/>
    <w:rsid w:val="0034671E"/>
    <w:rPr>
      <w:sz w:val="16"/>
      <w:szCs w:val="16"/>
    </w:rPr>
  </w:style>
  <w:style w:type="paragraph" w:styleId="CommentSubject">
    <w:name w:val="annotation subject"/>
    <w:basedOn w:val="CommentText"/>
    <w:next w:val="CommentText"/>
    <w:link w:val="CommentSubjectChar"/>
    <w:uiPriority w:val="99"/>
    <w:semiHidden/>
    <w:unhideWhenUsed/>
    <w:rsid w:val="0034671E"/>
    <w:rPr>
      <w:b/>
      <w:bCs/>
    </w:rPr>
  </w:style>
  <w:style w:type="character" w:customStyle="1" w:styleId="CommentSubjectChar">
    <w:name w:val="Comment Subject Char"/>
    <w:basedOn w:val="CommentTextChar"/>
    <w:link w:val="CommentSubject"/>
    <w:uiPriority w:val="99"/>
    <w:semiHidden/>
    <w:rsid w:val="0034671E"/>
    <w:rPr>
      <w:b/>
      <w:bCs/>
      <w:sz w:val="20"/>
      <w:szCs w:val="20"/>
    </w:rPr>
  </w:style>
  <w:style w:type="character" w:customStyle="1" w:styleId="Heading1Char">
    <w:name w:val="Heading 1 Char"/>
    <w:basedOn w:val="DefaultParagraphFont"/>
    <w:link w:val="Heading1"/>
    <w:uiPriority w:val="9"/>
    <w:rsid w:val="0050316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031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8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4D2CAC461CC4E92DEEC2BC5169065" ma:contentTypeVersion="24" ma:contentTypeDescription="Create a new document." ma:contentTypeScope="" ma:versionID="2c3547e9f6681ee12142aa33720217b6">
  <xsd:schema xmlns:xsd="http://www.w3.org/2001/XMLSchema" xmlns:xs="http://www.w3.org/2001/XMLSchema" xmlns:p="http://schemas.microsoft.com/office/2006/metadata/properties" xmlns:ns1="http://schemas.microsoft.com/sharepoint/v3" xmlns:ns2="4246bec0-d529-478b-b4aa-e80edf7f534d" xmlns:ns3="2b0c63fe-5a79-41e1-b8dd-47129bcca563" targetNamespace="http://schemas.microsoft.com/office/2006/metadata/properties" ma:root="true" ma:fieldsID="90845a34933db14a292879d34c0f7429" ns1:_="" ns2:_="" ns3:_="">
    <xsd:import namespace="http://schemas.microsoft.com/sharepoint/v3"/>
    <xsd:import namespace="4246bec0-d529-478b-b4aa-e80edf7f534d"/>
    <xsd:import namespace="2b0c63fe-5a79-41e1-b8dd-47129bcca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Location" minOccurs="0"/>
                <xsd:element ref="ns2:147b9021-7607-4207-a0dc-536c3b9ddc9aCountryOrRegion" minOccurs="0"/>
                <xsd:element ref="ns2:147b9021-7607-4207-a0dc-536c3b9ddc9aState" minOccurs="0"/>
                <xsd:element ref="ns2:147b9021-7607-4207-a0dc-536c3b9ddc9aCity" minOccurs="0"/>
                <xsd:element ref="ns2:147b9021-7607-4207-a0dc-536c3b9ddc9aPostalCode" minOccurs="0"/>
                <xsd:element ref="ns2:147b9021-7607-4207-a0dc-536c3b9ddc9aStreet" minOccurs="0"/>
                <xsd:element ref="ns2:147b9021-7607-4207-a0dc-536c3b9ddc9aGeoLoc" minOccurs="0"/>
                <xsd:element ref="ns2:147b9021-7607-4207-a0dc-536c3b9ddc9aDispNa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6bec0-d529-478b-b4aa-e80edf7f5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ocation" ma:index="20" nillable="true" ma:displayName="Location" ma:format="Dropdown" ma:internalName="Location">
      <xsd:simpleType>
        <xsd:restriction base="dms:Unknown"/>
      </xsd:simpleType>
    </xsd:element>
    <xsd:element name="147b9021-7607-4207-a0dc-536c3b9ddc9aCountryOrRegion" ma:index="21" nillable="true" ma:displayName="Location: Country/Region" ma:internalName="CountryOrRegion" ma:readOnly="true">
      <xsd:simpleType>
        <xsd:restriction base="dms:Text"/>
      </xsd:simpleType>
    </xsd:element>
    <xsd:element name="147b9021-7607-4207-a0dc-536c3b9ddc9aState" ma:index="22" nillable="true" ma:displayName="Location: State" ma:internalName="State" ma:readOnly="true">
      <xsd:simpleType>
        <xsd:restriction base="dms:Text"/>
      </xsd:simpleType>
    </xsd:element>
    <xsd:element name="147b9021-7607-4207-a0dc-536c3b9ddc9aCity" ma:index="23" nillable="true" ma:displayName="Location: City" ma:internalName="City" ma:readOnly="true">
      <xsd:simpleType>
        <xsd:restriction base="dms:Text"/>
      </xsd:simpleType>
    </xsd:element>
    <xsd:element name="147b9021-7607-4207-a0dc-536c3b9ddc9aPostalCode" ma:index="24" nillable="true" ma:displayName="Location: Postal Code" ma:internalName="PostalCode" ma:readOnly="true">
      <xsd:simpleType>
        <xsd:restriction base="dms:Text"/>
      </xsd:simpleType>
    </xsd:element>
    <xsd:element name="147b9021-7607-4207-a0dc-536c3b9ddc9aStreet" ma:index="25" nillable="true" ma:displayName="Location: Street" ma:internalName="Street" ma:readOnly="true">
      <xsd:simpleType>
        <xsd:restriction base="dms:Text"/>
      </xsd:simpleType>
    </xsd:element>
    <xsd:element name="147b9021-7607-4207-a0dc-536c3b9ddc9aGeoLoc" ma:index="26" nillable="true" ma:displayName="Location: Coordinates" ma:internalName="GeoLoc" ma:readOnly="true">
      <xsd:simpleType>
        <xsd:restriction base="dms:Unknown"/>
      </xsd:simpleType>
    </xsd:element>
    <xsd:element name="147b9021-7607-4207-a0dc-536c3b9ddc9aDispName" ma:index="27" nillable="true" ma:displayName="Location: Name" ma:internalName="DispNa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0c63fe-5a79-41e1-b8dd-47129bcca5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EE63C-DCFE-4043-82A8-6CB37FDA8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6bec0-d529-478b-b4aa-e80edf7f534d"/>
    <ds:schemaRef ds:uri="2b0c63fe-5a79-41e1-b8dd-47129bcc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3FE2D-3703-4273-8E25-5DCC7F1FD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Mistry</dc:creator>
  <cp:keywords/>
  <dc:description/>
  <cp:lastModifiedBy>Jo Taylor</cp:lastModifiedBy>
  <cp:revision>2</cp:revision>
  <dcterms:created xsi:type="dcterms:W3CDTF">2022-05-09T09:34:00Z</dcterms:created>
  <dcterms:modified xsi:type="dcterms:W3CDTF">2022-05-09T09:34:00Z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0x01010005A4D2CAC461CC4E92DEEC2BC5169065</vt:lpwstr>
  </property>
</Properties>
</file>