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1399" w14:textId="443E1C4F" w:rsidR="00E43BC9" w:rsidRDefault="00E43BC9" w:rsidP="00E43BC9">
      <w:pPr>
        <w:tabs>
          <w:tab w:val="left" w:pos="1695"/>
          <w:tab w:val="center" w:pos="4513"/>
        </w:tabs>
      </w:pPr>
      <w:r>
        <w:rPr>
          <w:noProof/>
        </w:rPr>
        <w:drawing>
          <wp:anchor distT="0" distB="0" distL="114300" distR="114300" simplePos="0" relativeHeight="251660288" behindDoc="1" locked="0" layoutInCell="1" allowOverlap="1" wp14:anchorId="22FD1D0D" wp14:editId="7153042C">
            <wp:simplePos x="0" y="0"/>
            <wp:positionH relativeFrom="margin">
              <wp:align>center</wp:align>
            </wp:positionH>
            <wp:positionV relativeFrom="paragraph">
              <wp:posOffset>-476885</wp:posOffset>
            </wp:positionV>
            <wp:extent cx="1893173" cy="790575"/>
            <wp:effectExtent l="0" t="0" r="0" b="0"/>
            <wp:wrapNone/>
            <wp:docPr id="487060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3173" cy="790575"/>
                    </a:xfrm>
                    <a:prstGeom prst="rect">
                      <a:avLst/>
                    </a:prstGeom>
                    <a:noFill/>
                  </pic:spPr>
                </pic:pic>
              </a:graphicData>
            </a:graphic>
            <wp14:sizeRelH relativeFrom="margin">
              <wp14:pctWidth>0</wp14:pctWidth>
            </wp14:sizeRelH>
            <wp14:sizeRelV relativeFrom="margin">
              <wp14:pctHeight>0</wp14:pctHeight>
            </wp14:sizeRelV>
          </wp:anchor>
        </w:drawing>
      </w:r>
      <w:r>
        <w:tab/>
      </w:r>
    </w:p>
    <w:p w14:paraId="52A43D2B" w14:textId="68BCEE24" w:rsidR="00E43BC9" w:rsidRDefault="00566349" w:rsidP="00E43BC9">
      <w:pPr>
        <w:tabs>
          <w:tab w:val="left" w:pos="1695"/>
          <w:tab w:val="center" w:pos="4513"/>
        </w:tabs>
      </w:pPr>
      <w:r>
        <w:rPr>
          <w:noProof/>
        </w:rPr>
        <w:drawing>
          <wp:anchor distT="0" distB="0" distL="114300" distR="114300" simplePos="0" relativeHeight="251658240" behindDoc="1" locked="0" layoutInCell="1" allowOverlap="1" wp14:anchorId="1B5FD624" wp14:editId="3308CFF8">
            <wp:simplePos x="0" y="0"/>
            <wp:positionH relativeFrom="margin">
              <wp:align>right</wp:align>
            </wp:positionH>
            <wp:positionV relativeFrom="paragraph">
              <wp:posOffset>123825</wp:posOffset>
            </wp:positionV>
            <wp:extent cx="1038860" cy="704850"/>
            <wp:effectExtent l="0" t="0" r="8890" b="0"/>
            <wp:wrapNone/>
            <wp:docPr id="1409066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704850"/>
                    </a:xfrm>
                    <a:prstGeom prst="rect">
                      <a:avLst/>
                    </a:prstGeom>
                    <a:noFill/>
                  </pic:spPr>
                </pic:pic>
              </a:graphicData>
            </a:graphic>
            <wp14:sizeRelH relativeFrom="margin">
              <wp14:pctWidth>0</wp14:pctWidth>
            </wp14:sizeRelH>
            <wp14:sizeRelV relativeFrom="margin">
              <wp14:pctHeight>0</wp14:pctHeight>
            </wp14:sizeRelV>
          </wp:anchor>
        </w:drawing>
      </w:r>
    </w:p>
    <w:p w14:paraId="78C35C0F" w14:textId="38B73D71" w:rsidR="00E43BC9" w:rsidRDefault="00566349" w:rsidP="00E43BC9">
      <w:pPr>
        <w:tabs>
          <w:tab w:val="left" w:pos="1695"/>
          <w:tab w:val="center" w:pos="4513"/>
        </w:tabs>
      </w:pPr>
      <w:r>
        <w:rPr>
          <w:noProof/>
        </w:rPr>
        <w:drawing>
          <wp:anchor distT="0" distB="0" distL="114300" distR="114300" simplePos="0" relativeHeight="251659264" behindDoc="1" locked="0" layoutInCell="1" allowOverlap="1" wp14:anchorId="064B4CE1" wp14:editId="7ABADF1D">
            <wp:simplePos x="0" y="0"/>
            <wp:positionH relativeFrom="margin">
              <wp:align>left</wp:align>
            </wp:positionH>
            <wp:positionV relativeFrom="paragraph">
              <wp:posOffset>9525</wp:posOffset>
            </wp:positionV>
            <wp:extent cx="1400175" cy="434975"/>
            <wp:effectExtent l="0" t="0" r="9525" b="3175"/>
            <wp:wrapNone/>
            <wp:docPr id="91796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434975"/>
                    </a:xfrm>
                    <a:prstGeom prst="rect">
                      <a:avLst/>
                    </a:prstGeom>
                    <a:noFill/>
                  </pic:spPr>
                </pic:pic>
              </a:graphicData>
            </a:graphic>
            <wp14:sizeRelH relativeFrom="margin">
              <wp14:pctWidth>0</wp14:pctWidth>
            </wp14:sizeRelH>
            <wp14:sizeRelV relativeFrom="margin">
              <wp14:pctHeight>0</wp14:pctHeight>
            </wp14:sizeRelV>
          </wp:anchor>
        </w:drawing>
      </w:r>
    </w:p>
    <w:p w14:paraId="1851840F" w14:textId="665EA9DB" w:rsidR="000B268A" w:rsidRDefault="00E43BC9" w:rsidP="00566349">
      <w:pPr>
        <w:tabs>
          <w:tab w:val="left" w:pos="1695"/>
          <w:tab w:val="left" w:pos="8310"/>
        </w:tabs>
      </w:pPr>
      <w:r>
        <w:tab/>
      </w:r>
      <w:r w:rsidR="00566349">
        <w:tab/>
      </w:r>
    </w:p>
    <w:p w14:paraId="56B726BF" w14:textId="53B5A1FC" w:rsidR="000B268A" w:rsidRPr="008D79F0" w:rsidRDefault="000B268A" w:rsidP="008D79F0">
      <w:pPr>
        <w:jc w:val="center"/>
        <w:rPr>
          <w:b/>
          <w:bCs/>
          <w:sz w:val="28"/>
          <w:szCs w:val="28"/>
        </w:rPr>
      </w:pPr>
      <w:r w:rsidRPr="008D79F0">
        <w:rPr>
          <w:b/>
          <w:bCs/>
          <w:sz w:val="28"/>
          <w:szCs w:val="28"/>
        </w:rPr>
        <w:t>The All-Party Parliamentary Markets Group</w:t>
      </w:r>
      <w:r w:rsidR="00AD66E3">
        <w:rPr>
          <w:b/>
          <w:bCs/>
          <w:sz w:val="28"/>
          <w:szCs w:val="28"/>
        </w:rPr>
        <w:t xml:space="preserve"> – </w:t>
      </w:r>
      <w:r w:rsidR="006C3A1B">
        <w:rPr>
          <w:b/>
          <w:bCs/>
          <w:sz w:val="28"/>
          <w:szCs w:val="28"/>
        </w:rPr>
        <w:t>Minutes</w:t>
      </w:r>
      <w:r w:rsidR="00AD66E3">
        <w:rPr>
          <w:b/>
          <w:bCs/>
          <w:sz w:val="28"/>
          <w:szCs w:val="28"/>
        </w:rPr>
        <w:t xml:space="preserve"> </w:t>
      </w:r>
    </w:p>
    <w:p w14:paraId="1DFE8FA9" w14:textId="371F1E94" w:rsidR="000B268A" w:rsidRDefault="000B268A" w:rsidP="000B268A">
      <w:pPr>
        <w:rPr>
          <w:b/>
          <w:bCs/>
        </w:rPr>
      </w:pPr>
      <w:r>
        <w:t>A meeting of the All-Party Parliamentary Local Markets Group, to be Chaired by Julia Buckley MP, has bee</w:t>
      </w:r>
      <w:r w:rsidR="00BF0056">
        <w:t>n</w:t>
      </w:r>
      <w:r>
        <w:t xml:space="preserve"> arranged for </w:t>
      </w:r>
      <w:r w:rsidR="00005F84">
        <w:rPr>
          <w:b/>
          <w:bCs/>
        </w:rPr>
        <w:t>Tuesday 23</w:t>
      </w:r>
      <w:r w:rsidR="00005F84" w:rsidRPr="00005F84">
        <w:rPr>
          <w:b/>
          <w:bCs/>
          <w:vertAlign w:val="superscript"/>
        </w:rPr>
        <w:t>rd</w:t>
      </w:r>
      <w:r w:rsidR="00005F84">
        <w:rPr>
          <w:b/>
          <w:bCs/>
        </w:rPr>
        <w:t xml:space="preserve"> June</w:t>
      </w:r>
      <w:r w:rsidR="00E43BC9">
        <w:rPr>
          <w:b/>
          <w:bCs/>
        </w:rPr>
        <w:t xml:space="preserve"> </w:t>
      </w:r>
      <w:r w:rsidRPr="00C508DD">
        <w:rPr>
          <w:b/>
          <w:bCs/>
        </w:rPr>
        <w:t>202</w:t>
      </w:r>
      <w:r w:rsidR="004671E2">
        <w:rPr>
          <w:b/>
          <w:bCs/>
        </w:rPr>
        <w:t>6</w:t>
      </w:r>
      <w:r w:rsidRPr="00C508DD">
        <w:rPr>
          <w:b/>
          <w:bCs/>
        </w:rPr>
        <w:t xml:space="preserve"> at 1</w:t>
      </w:r>
      <w:r w:rsidR="005B34F5">
        <w:rPr>
          <w:b/>
          <w:bCs/>
        </w:rPr>
        <w:t>2</w:t>
      </w:r>
      <w:r w:rsidR="00005F84">
        <w:rPr>
          <w:b/>
          <w:bCs/>
        </w:rPr>
        <w:t>.30</w:t>
      </w:r>
      <w:r w:rsidR="005B34F5">
        <w:rPr>
          <w:b/>
          <w:bCs/>
        </w:rPr>
        <w:t>pm</w:t>
      </w:r>
      <w:r w:rsidRPr="00C508DD">
        <w:rPr>
          <w:b/>
          <w:bCs/>
        </w:rPr>
        <w:t xml:space="preserve"> </w:t>
      </w:r>
      <w:r w:rsidR="00E43BC9">
        <w:rPr>
          <w:b/>
          <w:bCs/>
        </w:rPr>
        <w:t xml:space="preserve">– </w:t>
      </w:r>
      <w:r w:rsidR="00005F84">
        <w:rPr>
          <w:b/>
          <w:bCs/>
        </w:rPr>
        <w:t>1.30pm</w:t>
      </w:r>
      <w:r w:rsidR="00E43BC9">
        <w:rPr>
          <w:b/>
          <w:bCs/>
        </w:rPr>
        <w:t xml:space="preserve"> </w:t>
      </w:r>
      <w:r w:rsidRPr="00C508DD">
        <w:rPr>
          <w:b/>
          <w:bCs/>
        </w:rPr>
        <w:t xml:space="preserve">in </w:t>
      </w:r>
      <w:r w:rsidR="0062751A">
        <w:rPr>
          <w:b/>
          <w:bCs/>
        </w:rPr>
        <w:t xml:space="preserve">Room C1 – Parliament Street. </w:t>
      </w:r>
      <w:r w:rsidR="00005F84">
        <w:rPr>
          <w:b/>
          <w:bCs/>
        </w:rPr>
        <w:t xml:space="preserve"> </w:t>
      </w:r>
    </w:p>
    <w:p w14:paraId="6B88FC18" w14:textId="77777777" w:rsidR="00696A2C" w:rsidRDefault="00696A2C" w:rsidP="000B268A">
      <w:pPr>
        <w:rPr>
          <w:b/>
          <w:bCs/>
        </w:rPr>
      </w:pPr>
    </w:p>
    <w:p w14:paraId="7B642346" w14:textId="064C30CC" w:rsidR="00696A2C" w:rsidRDefault="00696A2C" w:rsidP="000B268A">
      <w:pPr>
        <w:rPr>
          <w:b/>
          <w:bCs/>
        </w:rPr>
      </w:pPr>
      <w:r>
        <w:rPr>
          <w:b/>
          <w:bCs/>
        </w:rPr>
        <w:t xml:space="preserve">In attendance: </w:t>
      </w:r>
    </w:p>
    <w:p w14:paraId="3E44CE2F" w14:textId="77777777" w:rsidR="00696A2C" w:rsidRDefault="00696A2C" w:rsidP="000B268A"/>
    <w:p w14:paraId="242C5E2A" w14:textId="77777777" w:rsidR="00566349" w:rsidRDefault="00566349" w:rsidP="00566349">
      <w:pPr>
        <w:pStyle w:val="NoSpacing"/>
      </w:pPr>
    </w:p>
    <w:p w14:paraId="5507FFF7" w14:textId="7B6A8221" w:rsidR="000B268A" w:rsidRPr="00566349" w:rsidRDefault="00BF0056" w:rsidP="000B268A">
      <w:pPr>
        <w:rPr>
          <w:b/>
          <w:bCs/>
          <w:color w:val="215E99" w:themeColor="text2" w:themeTint="BF"/>
        </w:rPr>
      </w:pPr>
      <w:r>
        <w:rPr>
          <w:b/>
          <w:bCs/>
          <w:color w:val="215E99" w:themeColor="text2" w:themeTint="BF"/>
        </w:rPr>
        <w:t xml:space="preserve">Agenda </w:t>
      </w:r>
      <w:r w:rsidR="006C3A1B">
        <w:rPr>
          <w:b/>
          <w:bCs/>
          <w:color w:val="215E99" w:themeColor="text2" w:themeTint="BF"/>
        </w:rPr>
        <w:t xml:space="preserve"> </w:t>
      </w:r>
    </w:p>
    <w:p w14:paraId="2EF38272" w14:textId="06D62C79" w:rsidR="000B268A" w:rsidRPr="00C508DD" w:rsidRDefault="000B268A" w:rsidP="000B268A">
      <w:pPr>
        <w:rPr>
          <w:b/>
          <w:bCs/>
        </w:rPr>
      </w:pPr>
      <w:r w:rsidRPr="00C508DD">
        <w:rPr>
          <w:b/>
          <w:bCs/>
        </w:rPr>
        <w:t>1.</w:t>
      </w:r>
      <w:r w:rsidRPr="00C508DD">
        <w:rPr>
          <w:b/>
          <w:bCs/>
        </w:rPr>
        <w:tab/>
        <w:t>Welcome</w:t>
      </w:r>
      <w:r w:rsidR="00E43BC9">
        <w:rPr>
          <w:b/>
          <w:bCs/>
        </w:rPr>
        <w:t xml:space="preserve"> (</w:t>
      </w:r>
      <w:r w:rsidR="00995133">
        <w:rPr>
          <w:b/>
          <w:bCs/>
        </w:rPr>
        <w:t>5</w:t>
      </w:r>
      <w:r w:rsidR="00E43BC9">
        <w:rPr>
          <w:b/>
          <w:bCs/>
        </w:rPr>
        <w:t xml:space="preserve"> mins) </w:t>
      </w:r>
    </w:p>
    <w:p w14:paraId="22DA4CC6" w14:textId="77777777" w:rsidR="00C605F4" w:rsidRPr="00C605F4" w:rsidRDefault="00C605F4" w:rsidP="00C605F4">
      <w:pPr>
        <w:ind w:left="720"/>
      </w:pPr>
      <w:r w:rsidRPr="00C605F4">
        <w:t>The Chair, Julia Buckley MP, welcomed attendees and opened the meeting. The APPMG's role as a cross-party forum connecting Parliament with the local markets sector was reaffirmed, recognising the importance of markets to town centres, retail, tourism, employment, hospitality and community wellbeing</w:t>
      </w:r>
    </w:p>
    <w:p w14:paraId="4EE00F7A" w14:textId="183E47A7" w:rsidR="000B268A" w:rsidRDefault="000B268A" w:rsidP="008D1156">
      <w:pPr>
        <w:ind w:left="720"/>
      </w:pPr>
    </w:p>
    <w:p w14:paraId="202AA386" w14:textId="70352831" w:rsidR="000B268A" w:rsidRDefault="000B268A" w:rsidP="000B268A">
      <w:r w:rsidRPr="00C508DD">
        <w:rPr>
          <w:b/>
          <w:bCs/>
        </w:rPr>
        <w:t>2.</w:t>
      </w:r>
      <w:r w:rsidRPr="00C508DD">
        <w:rPr>
          <w:b/>
          <w:bCs/>
        </w:rPr>
        <w:tab/>
        <w:t>The All-Party Parliamentary Local Markets Group</w:t>
      </w:r>
      <w:r w:rsidR="00E43BC9">
        <w:rPr>
          <w:b/>
          <w:bCs/>
        </w:rPr>
        <w:t xml:space="preserve"> </w:t>
      </w:r>
    </w:p>
    <w:p w14:paraId="4F6378C6" w14:textId="05512A2F" w:rsidR="00F362F1" w:rsidRDefault="00EB707A">
      <w:pPr>
        <w:ind w:left="720"/>
        <w:rPr>
          <w:lang w:eastAsia="en-GB"/>
        </w:rPr>
      </w:pPr>
      <w:r>
        <w:t>N</w:t>
      </w:r>
      <w:r w:rsidR="00F362F1">
        <w:t>ote</w:t>
      </w:r>
      <w:r>
        <w:t>d</w:t>
      </w:r>
      <w:r w:rsidR="00F362F1">
        <w:t>, the APPMG is a cross-party Westminster group that connects the local markets industry with parliamentarians, championing markets and raising issues affecting the sector. It also provides a forum to discuss policy, strategy and operations, recognising the role of markets and market trading in retail, tourism, employment, hospitality and leisure. The lead industry bodies are NABMA (National Association of British Market Authorities) and NMTF (National Market Traders Federation).</w:t>
      </w:r>
    </w:p>
    <w:p w14:paraId="186D9125" w14:textId="6AC63754" w:rsidR="00566349" w:rsidRDefault="00C508DD" w:rsidP="00566349">
      <w:pPr>
        <w:rPr>
          <w:b/>
          <w:bCs/>
        </w:rPr>
      </w:pPr>
      <w:r w:rsidRPr="00C508DD">
        <w:rPr>
          <w:b/>
          <w:bCs/>
        </w:rPr>
        <w:t>3</w:t>
      </w:r>
      <w:r w:rsidR="000B268A" w:rsidRPr="00C508DD">
        <w:rPr>
          <w:b/>
          <w:bCs/>
        </w:rPr>
        <w:t>.</w:t>
      </w:r>
      <w:r w:rsidR="000B268A" w:rsidRPr="00C508DD">
        <w:rPr>
          <w:b/>
          <w:bCs/>
        </w:rPr>
        <w:tab/>
      </w:r>
      <w:r w:rsidR="00E43BC9" w:rsidRPr="00C508DD">
        <w:rPr>
          <w:b/>
          <w:bCs/>
        </w:rPr>
        <w:t xml:space="preserve">Minutes </w:t>
      </w:r>
      <w:r w:rsidR="00E43BC9">
        <w:rPr>
          <w:b/>
          <w:bCs/>
        </w:rPr>
        <w:t>from previous meeting (</w:t>
      </w:r>
      <w:r w:rsidR="00E76D31">
        <w:rPr>
          <w:b/>
          <w:bCs/>
        </w:rPr>
        <w:t>5</w:t>
      </w:r>
      <w:r w:rsidR="00E43BC9">
        <w:rPr>
          <w:b/>
          <w:bCs/>
        </w:rPr>
        <w:t xml:space="preserve"> mins) </w:t>
      </w:r>
    </w:p>
    <w:p w14:paraId="63A47BE8" w14:textId="77777777" w:rsidR="0058794B" w:rsidRPr="0058794B" w:rsidRDefault="0058794B" w:rsidP="0058794B">
      <w:pPr>
        <w:ind w:left="720"/>
      </w:pPr>
      <w:r w:rsidRPr="0058794B">
        <w:t>The minutes of the meeting held on 21 January 2026 were accepted as an accurate record</w:t>
      </w:r>
    </w:p>
    <w:p w14:paraId="4D76766C" w14:textId="504F472A" w:rsidR="00106A7C" w:rsidRDefault="00BF0056" w:rsidP="000F07D2">
      <w:pPr>
        <w:ind w:left="720" w:hanging="720"/>
      </w:pPr>
      <w:r>
        <w:rPr>
          <w:b/>
          <w:bCs/>
        </w:rPr>
        <w:t>4</w:t>
      </w:r>
      <w:r w:rsidR="00085484" w:rsidRPr="00085484">
        <w:rPr>
          <w:b/>
          <w:bCs/>
        </w:rPr>
        <w:t>.</w:t>
      </w:r>
      <w:r w:rsidR="00085484">
        <w:rPr>
          <w:b/>
          <w:bCs/>
        </w:rPr>
        <w:tab/>
      </w:r>
      <w:r w:rsidR="00D4154F" w:rsidRPr="00B3134C">
        <w:rPr>
          <w:b/>
          <w:bCs/>
        </w:rPr>
        <w:t xml:space="preserve">Update on a </w:t>
      </w:r>
      <w:r w:rsidR="009D0BAE" w:rsidRPr="00B3134C">
        <w:rPr>
          <w:b/>
          <w:bCs/>
        </w:rPr>
        <w:t xml:space="preserve">joint initiative </w:t>
      </w:r>
      <w:r w:rsidR="008B7DBB" w:rsidRPr="00B3134C">
        <w:rPr>
          <w:b/>
          <w:bCs/>
        </w:rPr>
        <w:t>with national visitor attractions including Chester Zoo, tourism associations, DCMS and the Met Office</w:t>
      </w:r>
      <w:r w:rsidR="00B3134C" w:rsidRPr="00B3134C">
        <w:rPr>
          <w:b/>
          <w:bCs/>
        </w:rPr>
        <w:t xml:space="preserve"> (</w:t>
      </w:r>
      <w:r w:rsidR="00986DB7">
        <w:rPr>
          <w:b/>
          <w:bCs/>
        </w:rPr>
        <w:t>10</w:t>
      </w:r>
      <w:r w:rsidR="00B3134C" w:rsidRPr="00B3134C">
        <w:rPr>
          <w:b/>
          <w:bCs/>
        </w:rPr>
        <w:t xml:space="preserve"> Mins)</w:t>
      </w:r>
    </w:p>
    <w:p w14:paraId="51B88225" w14:textId="2F0ACF29" w:rsidR="00623759" w:rsidRPr="00623759" w:rsidRDefault="00623759" w:rsidP="00623759">
      <w:pPr>
        <w:ind w:left="720"/>
      </w:pPr>
      <w:r w:rsidRPr="00623759">
        <w:t xml:space="preserve">An update was received on the joint initiative involving national visitor attractions, including Chester Zoo, tourism bodies, the Department for Culture, Media and Sport (DCMS), and the Met Office regarding weather forecasting and its impact on visitor behaviour. </w:t>
      </w:r>
    </w:p>
    <w:p w14:paraId="2E6593D1" w14:textId="77777777" w:rsidR="00623759" w:rsidRPr="00623759" w:rsidRDefault="00623759" w:rsidP="00623759">
      <w:pPr>
        <w:ind w:left="720"/>
      </w:pPr>
      <w:r w:rsidRPr="00623759">
        <w:lastRenderedPageBreak/>
        <w:t>Members discussed concerns that inaccurate or overly cautious weather forecasting can adversely affect attendance at outdoor markets, events and visitor attractions, resulting in unnecessary economic impacts.</w:t>
      </w:r>
    </w:p>
    <w:p w14:paraId="09E4929E" w14:textId="77777777" w:rsidR="00623759" w:rsidRPr="00623759" w:rsidRDefault="00623759" w:rsidP="00623759">
      <w:pPr>
        <w:ind w:left="720"/>
      </w:pPr>
      <w:r w:rsidRPr="00623759">
        <w:t>The Group recognised that, as climate change continues to increase the frequency of extreme and unpredictable weather conditions, accurate forecasting becomes increasingly important to protect economic activity while supporting the Government's wider commitment to climate action and resilience planning.</w:t>
      </w:r>
    </w:p>
    <w:p w14:paraId="20D97B23" w14:textId="77777777" w:rsidR="00623759" w:rsidRPr="00623759" w:rsidRDefault="00623759" w:rsidP="00623759">
      <w:pPr>
        <w:ind w:left="720"/>
      </w:pPr>
      <w:r w:rsidRPr="00623759">
        <w:t>It was agreed that a letter would be drafted on behalf of the APPMG and shared by the Chair with Ministers. The correspondence will be addressed to the Department for Science, Innovation and Technology (DSIT) and DCMS, recognising their respective responsibilities for the Met Office and the outdoor events and visitor economy sectors. The letter will call for greater forecasting accuracy and consideration of the economic consequences of forecasting practices.</w:t>
      </w:r>
    </w:p>
    <w:p w14:paraId="5255A8FB" w14:textId="77777777" w:rsidR="00623759" w:rsidRPr="00623759" w:rsidRDefault="00623759" w:rsidP="00623759">
      <w:pPr>
        <w:ind w:left="720"/>
      </w:pPr>
      <w:r w:rsidRPr="00623759">
        <w:t>Members noted that the issue had attracted parliamentary interest, with MPs attending specifically to discuss the item before remaining for the wider meeting.</w:t>
      </w:r>
    </w:p>
    <w:p w14:paraId="3B409906" w14:textId="77777777" w:rsidR="00623759" w:rsidRPr="00623759" w:rsidRDefault="00623759" w:rsidP="00623759">
      <w:pPr>
        <w:ind w:left="720"/>
      </w:pPr>
      <w:r w:rsidRPr="00623759">
        <w:t>Action: APPMG to write to DSIT and DCMS regarding weather forecasting accuracy, climate resilience and economic impacts.</w:t>
      </w:r>
    </w:p>
    <w:p w14:paraId="666BD5E9" w14:textId="7BB8C611" w:rsidR="000B268A" w:rsidRDefault="00995133" w:rsidP="00E43BC9">
      <w:pPr>
        <w:ind w:left="720" w:hanging="720"/>
        <w:rPr>
          <w:b/>
          <w:bCs/>
        </w:rPr>
      </w:pPr>
      <w:r>
        <w:rPr>
          <w:b/>
          <w:bCs/>
        </w:rPr>
        <w:t>5</w:t>
      </w:r>
      <w:r w:rsidR="000B268A" w:rsidRPr="00760558">
        <w:rPr>
          <w:b/>
          <w:bCs/>
        </w:rPr>
        <w:t>.</w:t>
      </w:r>
      <w:r w:rsidR="000B268A" w:rsidRPr="00760558">
        <w:rPr>
          <w:b/>
          <w:bCs/>
        </w:rPr>
        <w:tab/>
      </w:r>
      <w:r w:rsidR="00DA54AB" w:rsidRPr="00592D08">
        <w:rPr>
          <w:b/>
          <w:bCs/>
        </w:rPr>
        <w:t xml:space="preserve">NABMA Report </w:t>
      </w:r>
      <w:r w:rsidR="00657144" w:rsidRPr="00592D08">
        <w:rPr>
          <w:b/>
          <w:bCs/>
        </w:rPr>
        <w:t>–</w:t>
      </w:r>
      <w:r w:rsidR="00DA54AB" w:rsidRPr="00760558">
        <w:rPr>
          <w:b/>
          <w:bCs/>
        </w:rPr>
        <w:t xml:space="preserve"> </w:t>
      </w:r>
      <w:r w:rsidR="00657144" w:rsidRPr="00760558">
        <w:rPr>
          <w:b/>
          <w:bCs/>
        </w:rPr>
        <w:t xml:space="preserve">Markets as Placemaking </w:t>
      </w:r>
      <w:r w:rsidR="002A23C8" w:rsidRPr="00760558">
        <w:rPr>
          <w:b/>
          <w:bCs/>
        </w:rPr>
        <w:t>–</w:t>
      </w:r>
      <w:r w:rsidR="00657144" w:rsidRPr="00760558">
        <w:rPr>
          <w:b/>
          <w:bCs/>
        </w:rPr>
        <w:t xml:space="preserve"> </w:t>
      </w:r>
      <w:r w:rsidR="002A23C8" w:rsidRPr="00760558">
        <w:rPr>
          <w:b/>
          <w:bCs/>
        </w:rPr>
        <w:t>Extent of Markets used within regeneration schemes across the UK</w:t>
      </w:r>
      <w:r w:rsidR="00566349" w:rsidRPr="00760558">
        <w:rPr>
          <w:b/>
          <w:bCs/>
        </w:rPr>
        <w:t xml:space="preserve"> (</w:t>
      </w:r>
      <w:r>
        <w:rPr>
          <w:b/>
          <w:bCs/>
        </w:rPr>
        <w:t>3</w:t>
      </w:r>
      <w:r w:rsidR="00986DB7">
        <w:rPr>
          <w:b/>
          <w:bCs/>
        </w:rPr>
        <w:t>0</w:t>
      </w:r>
      <w:r w:rsidR="00566349" w:rsidRPr="00760558">
        <w:rPr>
          <w:b/>
          <w:bCs/>
        </w:rPr>
        <w:t xml:space="preserve"> Mins) </w:t>
      </w:r>
    </w:p>
    <w:p w14:paraId="4659A2BC" w14:textId="17FBA0DA" w:rsidR="00DF52E1" w:rsidRPr="00DF52E1" w:rsidRDefault="00DF52E1" w:rsidP="00DF52E1">
      <w:pPr>
        <w:ind w:left="720" w:hanging="720"/>
      </w:pPr>
      <w:r w:rsidRPr="00DF52E1">
        <w:tab/>
      </w:r>
      <w:r w:rsidRPr="00DF52E1">
        <w:t xml:space="preserve">David Catterall presented NABMA's report on markets as placemaking assets and their role within regeneration programmes across the United Kingdom. The report highlighted the contribution markets make to economic growth, social value, town centre vitality and long-term regeneration outcomes. </w:t>
      </w:r>
    </w:p>
    <w:p w14:paraId="77C4E2E8" w14:textId="2B5678D5" w:rsidR="00DF52E1" w:rsidRPr="00DF52E1" w:rsidRDefault="00DF52E1" w:rsidP="00DF52E1">
      <w:pPr>
        <w:ind w:left="720"/>
      </w:pPr>
      <w:r w:rsidRPr="00DF52E1">
        <w:t xml:space="preserve">The presentation formed the basis of a light-touch APPMG enquiry intended to strengthen the evidence base demonstrating that markets are fundamental components of thriving town centres and community growth. </w:t>
      </w:r>
    </w:p>
    <w:p w14:paraId="5741CB9A" w14:textId="77777777" w:rsidR="00DF52E1" w:rsidRPr="00DF52E1" w:rsidRDefault="00DF52E1" w:rsidP="00DF52E1">
      <w:pPr>
        <w:ind w:left="720"/>
      </w:pPr>
      <w:r w:rsidRPr="00DF52E1">
        <w:t>The report was well received by attendees from NABMA, NMTF and the Institute of Place Management (IPM). Discussion focused on how markets can be embedded within the Government's emerging High Street Strategy and wider Pride in Place ambitions.</w:t>
      </w:r>
    </w:p>
    <w:p w14:paraId="122CAD63" w14:textId="77777777" w:rsidR="00DF52E1" w:rsidRPr="00DF52E1" w:rsidRDefault="00DF52E1" w:rsidP="00DF52E1">
      <w:pPr>
        <w:ind w:left="720"/>
      </w:pPr>
      <w:r w:rsidRPr="00DF52E1">
        <w:t>Members recognised that high streets are becoming increasingly diversified and multifunctional, with growing opportunities to integrate health, wellbeing, community services, culture and economic activity within a single destination.</w:t>
      </w:r>
    </w:p>
    <w:p w14:paraId="57046BA8" w14:textId="4AF2472F" w:rsidR="00DF52E1" w:rsidRPr="00DF52E1" w:rsidRDefault="004A006F" w:rsidP="00DF52E1">
      <w:pPr>
        <w:ind w:left="720"/>
      </w:pPr>
      <w:r w:rsidRPr="00DF52E1">
        <w:t>Attention</w:t>
      </w:r>
      <w:r w:rsidR="00DF52E1" w:rsidRPr="00DF52E1">
        <w:t xml:space="preserve"> was given to the role of Health on the High Street initiatives. The Group discussed how market locations can provide accessible environments for preventative healthcare, community health services, public health engagement and wellbeing programmes. Barnsley's Health on the High Street initiative was referenced as a leading example of how markets can support public health objectives whilst also increasing footfall and occupancy.</w:t>
      </w:r>
    </w:p>
    <w:p w14:paraId="5FA2EAD0" w14:textId="77777777" w:rsidR="00DF52E1" w:rsidRPr="00DF52E1" w:rsidRDefault="00DF52E1" w:rsidP="00DF52E1">
      <w:pPr>
        <w:ind w:left="720"/>
      </w:pPr>
      <w:r w:rsidRPr="00DF52E1">
        <w:t>It was noted that opportunities may exist to engage Integrated Care Boards (ICBs) and explore how health funding streams could support market-based health initiatives where measurable outcomes can be demonstrated.</w:t>
      </w:r>
    </w:p>
    <w:p w14:paraId="08172527" w14:textId="77777777" w:rsidR="00DF52E1" w:rsidRPr="00DF52E1" w:rsidRDefault="00DF52E1" w:rsidP="00DF52E1">
      <w:pPr>
        <w:ind w:left="720"/>
      </w:pPr>
      <w:r w:rsidRPr="00DF52E1">
        <w:lastRenderedPageBreak/>
        <w:t>The Chair proposed that the APPMG should frame its future work as a broader discussion on markets within the High Street Strategy, encompassing issues including regeneration, public health, business rates, community wealth building and devolution.</w:t>
      </w:r>
    </w:p>
    <w:p w14:paraId="7AF8F8BF" w14:textId="77777777" w:rsidR="00DF52E1" w:rsidRPr="00EF239B" w:rsidRDefault="00DF52E1" w:rsidP="00DF52E1">
      <w:pPr>
        <w:ind w:left="720"/>
        <w:rPr>
          <w:b/>
          <w:bCs/>
        </w:rPr>
      </w:pPr>
      <w:r w:rsidRPr="00EF239B">
        <w:rPr>
          <w:b/>
          <w:bCs/>
        </w:rPr>
        <w:t>Barnsley Market Visit</w:t>
      </w:r>
    </w:p>
    <w:p w14:paraId="3C6B9E57" w14:textId="77777777" w:rsidR="00DF52E1" w:rsidRPr="00DF52E1" w:rsidRDefault="00DF52E1" w:rsidP="00DF52E1">
      <w:pPr>
        <w:ind w:left="720"/>
      </w:pPr>
      <w:r w:rsidRPr="00DF52E1">
        <w:t>Members noted that an APPMG visit to Barnsley Market is being undertaken to support the mini-enquiry arising from the report. The visit will enable parliamentarians to gather evidence directly and examine how markets can act as anchors for regeneration and support multifunctional high streets.</w:t>
      </w:r>
    </w:p>
    <w:p w14:paraId="07A63944" w14:textId="5594C995" w:rsidR="00DF52E1" w:rsidRPr="00DF52E1" w:rsidRDefault="00DF52E1" w:rsidP="00EF239B">
      <w:pPr>
        <w:ind w:left="720"/>
      </w:pPr>
      <w:r w:rsidRPr="00DF52E1">
        <w:t xml:space="preserve">The APPMG agreed that Barnsley would be used as a case study of best practice in market-led regeneration. Following the visit, a wider report will be prepared </w:t>
      </w:r>
      <w:r w:rsidR="006A72F8">
        <w:t xml:space="preserve">by NABMA </w:t>
      </w:r>
      <w:r w:rsidRPr="00DF52E1">
        <w:t>demonstrating how markets contribute to regeneration, health, wellbeing and wider place-making objectives.</w:t>
      </w:r>
    </w:p>
    <w:p w14:paraId="0EEF8806" w14:textId="77777777" w:rsidR="00DF52E1" w:rsidRPr="00DF52E1" w:rsidRDefault="00DF52E1" w:rsidP="00EF239B">
      <w:pPr>
        <w:ind w:left="720"/>
      </w:pPr>
      <w:r w:rsidRPr="00DF52E1">
        <w:t>The completed report will be presented to the Ministry of Housing, Communities and Local Government (MHCLG) and shared with relevant Integrated Care Boards to explore opportunities for future health-related funding and policy support.</w:t>
      </w:r>
    </w:p>
    <w:p w14:paraId="16420900" w14:textId="77777777" w:rsidR="00DF52E1" w:rsidRPr="00DF52E1" w:rsidRDefault="00DF52E1" w:rsidP="00EF239B">
      <w:pPr>
        <w:ind w:left="720"/>
      </w:pPr>
      <w:r w:rsidRPr="00DF52E1">
        <w:t>Members agreed that this work will help deliver the APPMG's proposed mini-enquiry and provide practical recommendations to Government regarding the role of markets within the future High Street Strategy.</w:t>
      </w:r>
    </w:p>
    <w:p w14:paraId="7E600F07" w14:textId="77777777" w:rsidR="00DF52E1" w:rsidRPr="00EF239B" w:rsidRDefault="00DF52E1" w:rsidP="00EF239B">
      <w:pPr>
        <w:ind w:left="720"/>
        <w:rPr>
          <w:b/>
          <w:bCs/>
        </w:rPr>
      </w:pPr>
      <w:r w:rsidRPr="00EF239B">
        <w:rPr>
          <w:b/>
          <w:bCs/>
        </w:rPr>
        <w:t>Ministerial Engagement</w:t>
      </w:r>
    </w:p>
    <w:p w14:paraId="462D6B11" w14:textId="77777777" w:rsidR="00DF52E1" w:rsidRPr="00DF52E1" w:rsidRDefault="00DF52E1" w:rsidP="00EF239B">
      <w:pPr>
        <w:ind w:left="720"/>
      </w:pPr>
      <w:r w:rsidRPr="00DF52E1">
        <w:t>The Chair confirmed that she would write to the Secretary of State at MHCLG to ensure that the APPMG's findings are considered as part of the development of the Government's High Street Strategy.</w:t>
      </w:r>
    </w:p>
    <w:p w14:paraId="577137D4" w14:textId="77777777" w:rsidR="00DF52E1" w:rsidRDefault="00DF52E1" w:rsidP="00EF239B">
      <w:pPr>
        <w:ind w:left="720"/>
      </w:pPr>
      <w:r w:rsidRPr="00DF52E1">
        <w:t>Members welcomed this commitment and agreed that it was important that NABMA is directly involved in shaping future policy.</w:t>
      </w:r>
    </w:p>
    <w:p w14:paraId="0EB7C425" w14:textId="77777777" w:rsidR="009904A2" w:rsidRPr="009904A2" w:rsidRDefault="009904A2" w:rsidP="009904A2">
      <w:pPr>
        <w:ind w:left="720"/>
        <w:rPr>
          <w:b/>
          <w:bCs/>
        </w:rPr>
      </w:pPr>
      <w:r w:rsidRPr="009904A2">
        <w:rPr>
          <w:b/>
          <w:bCs/>
        </w:rPr>
        <w:t>Stakeholder Engagement</w:t>
      </w:r>
    </w:p>
    <w:p w14:paraId="3AEC6C79" w14:textId="77777777" w:rsidR="009904A2" w:rsidRPr="009904A2" w:rsidRDefault="009904A2" w:rsidP="009904A2">
      <w:pPr>
        <w:ind w:left="720"/>
      </w:pPr>
      <w:r w:rsidRPr="009904A2">
        <w:t>Members welcomed the support shown by the Institute of Place Management for the markets regeneration agenda and noted continuing discussions regarding future collaboration on policy development, skills and professional standards.</w:t>
      </w:r>
    </w:p>
    <w:p w14:paraId="1B0A3E2B" w14:textId="77777777" w:rsidR="009904A2" w:rsidRPr="009904A2" w:rsidRDefault="009904A2" w:rsidP="009904A2">
      <w:pPr>
        <w:ind w:left="720"/>
      </w:pPr>
      <w:r w:rsidRPr="009904A2">
        <w:t>It was agreed that strong partnership working between NABMA, NMTF, IPM and parliamentarians would be essential in ensuring markets are represented within future government policy.</w:t>
      </w:r>
    </w:p>
    <w:p w14:paraId="2D7792E3" w14:textId="33B93890" w:rsidR="00DF52E1" w:rsidRPr="00DF52E1" w:rsidRDefault="00DF52E1" w:rsidP="00EF239B">
      <w:pPr>
        <w:ind w:left="720"/>
      </w:pPr>
      <w:r w:rsidRPr="00EF239B">
        <w:rPr>
          <w:b/>
          <w:bCs/>
        </w:rPr>
        <w:t>Action:</w:t>
      </w:r>
      <w:r w:rsidRPr="00DF52E1">
        <w:t xml:space="preserve"> Hibbah to write to the Minister at MHCLG to reinforce the importance of NABMA's involvement in the development of the High Street Strategy and ensure APPMG recommendations are considered.</w:t>
      </w:r>
      <w:r w:rsidR="006A72F8">
        <w:t xml:space="preserve"> David Catterall (NABMA) to deliver the mini enquiry outcome at the next APPMG meeting. </w:t>
      </w:r>
    </w:p>
    <w:p w14:paraId="5F4E74E0" w14:textId="47C537B7" w:rsidR="00DF52E1" w:rsidRDefault="00CA1E2A" w:rsidP="00E43BC9">
      <w:pPr>
        <w:ind w:left="720" w:hanging="720"/>
        <w:rPr>
          <w:b/>
          <w:bCs/>
        </w:rPr>
      </w:pPr>
      <w:r>
        <w:rPr>
          <w:b/>
          <w:bCs/>
        </w:rPr>
        <w:tab/>
      </w:r>
    </w:p>
    <w:p w14:paraId="6C6AD6CF" w14:textId="275D5BB6" w:rsidR="00CA1E2A" w:rsidRPr="00CA1E2A" w:rsidRDefault="00CA1E2A" w:rsidP="00CA1E2A">
      <w:pPr>
        <w:ind w:left="720" w:hanging="720"/>
        <w:rPr>
          <w:b/>
          <w:bCs/>
        </w:rPr>
      </w:pPr>
      <w:r>
        <w:rPr>
          <w:b/>
          <w:bCs/>
        </w:rPr>
        <w:t xml:space="preserve">6. </w:t>
      </w:r>
      <w:r>
        <w:rPr>
          <w:b/>
          <w:bCs/>
        </w:rPr>
        <w:tab/>
      </w:r>
      <w:r w:rsidRPr="00CA1E2A">
        <w:rPr>
          <w:b/>
          <w:bCs/>
        </w:rPr>
        <w:t>Any Other Business</w:t>
      </w:r>
    </w:p>
    <w:p w14:paraId="59BFA56E" w14:textId="77777777" w:rsidR="00CA1E2A" w:rsidRPr="00CA1E2A" w:rsidRDefault="00CA1E2A" w:rsidP="00CA1E2A">
      <w:pPr>
        <w:ind w:left="720"/>
        <w:rPr>
          <w:b/>
          <w:bCs/>
        </w:rPr>
      </w:pPr>
      <w:r w:rsidRPr="00CA1E2A">
        <w:rPr>
          <w:b/>
          <w:bCs/>
        </w:rPr>
        <w:t>Market Operator Contracts and Financial Protection</w:t>
      </w:r>
    </w:p>
    <w:p w14:paraId="283A4BE6" w14:textId="77777777" w:rsidR="00CA1E2A" w:rsidRPr="00CA1E2A" w:rsidRDefault="00CA1E2A" w:rsidP="00CA1E2A">
      <w:pPr>
        <w:ind w:left="720"/>
      </w:pPr>
      <w:r w:rsidRPr="00CA1E2A">
        <w:lastRenderedPageBreak/>
        <w:t>A concern was raised regarding arrangements between some market operators and traders, specifically around the length of time trader income may be retained before payment is made.</w:t>
      </w:r>
    </w:p>
    <w:p w14:paraId="5F7E6F59" w14:textId="77777777" w:rsidR="00CA1E2A" w:rsidRPr="00CA1E2A" w:rsidRDefault="00CA1E2A" w:rsidP="00CA1E2A">
      <w:pPr>
        <w:ind w:left="720"/>
      </w:pPr>
      <w:r w:rsidRPr="00CA1E2A">
        <w:t>Members acknowledged that the issue appeared to relate primarily to contractual arrangements rather than rent levels or turnover-based charging structures. It was agreed that the matter required careful consideration and further discussion with industry stakeholders before any recommendations could be developed.</w:t>
      </w:r>
    </w:p>
    <w:p w14:paraId="10829D66" w14:textId="77777777" w:rsidR="00CA1E2A" w:rsidRPr="00CA1E2A" w:rsidRDefault="00CA1E2A" w:rsidP="00CF3EC0">
      <w:pPr>
        <w:ind w:left="720"/>
        <w:rPr>
          <w:b/>
          <w:bCs/>
        </w:rPr>
      </w:pPr>
      <w:r w:rsidRPr="00CA1E2A">
        <w:rPr>
          <w:b/>
          <w:bCs/>
        </w:rPr>
        <w:t>Community Asset Transfer</w:t>
      </w:r>
    </w:p>
    <w:p w14:paraId="7DDD1364" w14:textId="77777777" w:rsidR="00CA1E2A" w:rsidRPr="00CF3EC0" w:rsidRDefault="00CA1E2A" w:rsidP="00CF3EC0">
      <w:pPr>
        <w:ind w:left="720"/>
      </w:pPr>
      <w:r w:rsidRPr="00CF3EC0">
        <w:t>Lord Davies of Brixton raised concerns regarding community asset transfer policy and its implications for markets and community-owned assets.</w:t>
      </w:r>
    </w:p>
    <w:p w14:paraId="253DCC28" w14:textId="77777777" w:rsidR="00CA1E2A" w:rsidRPr="00CF3EC0" w:rsidRDefault="00CA1E2A" w:rsidP="00CF3EC0">
      <w:pPr>
        <w:ind w:left="720"/>
      </w:pPr>
      <w:r w:rsidRPr="00CF3EC0">
        <w:t>He requested that NABMA and NMTF engage with local Member of Parliament Bell Ribeiro-Addy MP regarding the issue and explore opportunities for future parliamentary discussion.</w:t>
      </w:r>
    </w:p>
    <w:p w14:paraId="4ECDD281" w14:textId="77777777" w:rsidR="00CA1E2A" w:rsidRPr="00CF3EC0" w:rsidRDefault="00CA1E2A" w:rsidP="00CF3EC0">
      <w:pPr>
        <w:ind w:left="720"/>
      </w:pPr>
      <w:r w:rsidRPr="00CF3EC0">
        <w:rPr>
          <w:b/>
          <w:bCs/>
        </w:rPr>
        <w:t>Action:</w:t>
      </w:r>
      <w:r w:rsidRPr="00CF3EC0">
        <w:t xml:space="preserve"> NABMA and NMTF to contact Bell Ribeiro-Addy MP regarding concerns around community asset transfer.</w:t>
      </w:r>
    </w:p>
    <w:p w14:paraId="6CF6D676" w14:textId="49116CA3" w:rsidR="00CA1E2A" w:rsidRDefault="00CA1E2A" w:rsidP="00E43BC9">
      <w:pPr>
        <w:ind w:left="720" w:hanging="720"/>
        <w:rPr>
          <w:b/>
          <w:bCs/>
        </w:rPr>
      </w:pPr>
    </w:p>
    <w:p w14:paraId="12DA8455" w14:textId="77777777" w:rsidR="00184662" w:rsidRPr="00184662" w:rsidRDefault="00184662" w:rsidP="00184662">
      <w:pPr>
        <w:ind w:left="720" w:hanging="720"/>
        <w:rPr>
          <w:b/>
          <w:bCs/>
        </w:rPr>
      </w:pPr>
      <w:r w:rsidRPr="00184662">
        <w:rPr>
          <w:b/>
          <w:bCs/>
        </w:rPr>
        <w:t>Summary of Agreed Actions</w:t>
      </w:r>
    </w:p>
    <w:p w14:paraId="64136FE4" w14:textId="77777777" w:rsidR="00184662" w:rsidRPr="00184662" w:rsidRDefault="00184662" w:rsidP="00184662">
      <w:pPr>
        <w:numPr>
          <w:ilvl w:val="0"/>
          <w:numId w:val="2"/>
        </w:numPr>
      </w:pPr>
      <w:r w:rsidRPr="00184662">
        <w:t>APPMG to write to DSIT and DCMS regarding weather forecasting accuracy and economic impacts.</w:t>
      </w:r>
    </w:p>
    <w:p w14:paraId="58B874D0" w14:textId="77777777" w:rsidR="00184662" w:rsidRPr="00184662" w:rsidRDefault="00184662" w:rsidP="00184662">
      <w:pPr>
        <w:numPr>
          <w:ilvl w:val="0"/>
          <w:numId w:val="2"/>
        </w:numPr>
      </w:pPr>
      <w:r w:rsidRPr="00184662">
        <w:t>Hibbah to write to the Minister at MHCLG to ensure NABMA is actively involved in the development of the High Street Strategy.</w:t>
      </w:r>
    </w:p>
    <w:p w14:paraId="37663A7C" w14:textId="77777777" w:rsidR="00184662" w:rsidRPr="00184662" w:rsidRDefault="00184662" w:rsidP="00184662">
      <w:pPr>
        <w:numPr>
          <w:ilvl w:val="0"/>
          <w:numId w:val="2"/>
        </w:numPr>
      </w:pPr>
      <w:r w:rsidRPr="00184662">
        <w:t>APPMG to undertake the Barnsley Market visit as part of the mini-enquiry evidence-gathering process.</w:t>
      </w:r>
    </w:p>
    <w:p w14:paraId="67DE889A" w14:textId="77777777" w:rsidR="00184662" w:rsidRPr="00184662" w:rsidRDefault="00184662" w:rsidP="00184662">
      <w:pPr>
        <w:numPr>
          <w:ilvl w:val="0"/>
          <w:numId w:val="2"/>
        </w:numPr>
      </w:pPr>
      <w:r w:rsidRPr="00184662">
        <w:t>NABMA to prepare a follow-up report using Barnsley as a best-practice case study on regeneration, public health and high street diversification.</w:t>
      </w:r>
    </w:p>
    <w:p w14:paraId="5F2B68D1" w14:textId="77777777" w:rsidR="00184662" w:rsidRPr="00184662" w:rsidRDefault="00184662" w:rsidP="00184662">
      <w:pPr>
        <w:numPr>
          <w:ilvl w:val="0"/>
          <w:numId w:val="2"/>
        </w:numPr>
      </w:pPr>
      <w:r w:rsidRPr="00184662">
        <w:t>The final report to be shared with MHCLG and relevant ICBs to explore policy and funding opportunities.</w:t>
      </w:r>
    </w:p>
    <w:p w14:paraId="1F60F0D8" w14:textId="77777777" w:rsidR="00184662" w:rsidRPr="00184662" w:rsidRDefault="00184662" w:rsidP="00184662">
      <w:pPr>
        <w:numPr>
          <w:ilvl w:val="0"/>
          <w:numId w:val="2"/>
        </w:numPr>
      </w:pPr>
      <w:r w:rsidRPr="00184662">
        <w:t>NABMA and NMTF to engage with Bell Ribeiro-Addy MP regarding community asset transfer concerns.</w:t>
      </w:r>
    </w:p>
    <w:p w14:paraId="65045CEB" w14:textId="77777777" w:rsidR="00184662" w:rsidRPr="00184662" w:rsidRDefault="00184662" w:rsidP="00184662">
      <w:pPr>
        <w:numPr>
          <w:ilvl w:val="0"/>
          <w:numId w:val="2"/>
        </w:numPr>
      </w:pPr>
      <w:r w:rsidRPr="00184662">
        <w:t>Continued engagement with IPM and other partners to ensure markets remain central to future High Street Strategy development.</w:t>
      </w:r>
    </w:p>
    <w:p w14:paraId="4200D8F3" w14:textId="77777777" w:rsidR="00184662" w:rsidRPr="00760558" w:rsidRDefault="00184662" w:rsidP="00E43BC9">
      <w:pPr>
        <w:ind w:left="720" w:hanging="720"/>
        <w:rPr>
          <w:b/>
          <w:bCs/>
        </w:rPr>
      </w:pPr>
    </w:p>
    <w:sectPr w:rsidR="00184662" w:rsidRPr="00760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9E2"/>
    <w:multiLevelType w:val="multilevel"/>
    <w:tmpl w:val="E896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F66F4"/>
    <w:multiLevelType w:val="multilevel"/>
    <w:tmpl w:val="DC5C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6482322">
    <w:abstractNumId w:val="0"/>
  </w:num>
  <w:num w:numId="2" w16cid:durableId="94912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8A"/>
    <w:rsid w:val="00005F84"/>
    <w:rsid w:val="00062F21"/>
    <w:rsid w:val="00067DBF"/>
    <w:rsid w:val="00085484"/>
    <w:rsid w:val="000B268A"/>
    <w:rsid w:val="000F07D2"/>
    <w:rsid w:val="00106A7C"/>
    <w:rsid w:val="00126DC7"/>
    <w:rsid w:val="00184662"/>
    <w:rsid w:val="001C516D"/>
    <w:rsid w:val="00244747"/>
    <w:rsid w:val="00274925"/>
    <w:rsid w:val="002A23C8"/>
    <w:rsid w:val="00336264"/>
    <w:rsid w:val="004671E2"/>
    <w:rsid w:val="00495A9E"/>
    <w:rsid w:val="004A006F"/>
    <w:rsid w:val="00535024"/>
    <w:rsid w:val="00566349"/>
    <w:rsid w:val="005769F9"/>
    <w:rsid w:val="0058623D"/>
    <w:rsid w:val="0058794B"/>
    <w:rsid w:val="00592D08"/>
    <w:rsid w:val="0059785F"/>
    <w:rsid w:val="005A31AA"/>
    <w:rsid w:val="005B34F5"/>
    <w:rsid w:val="005D2DC6"/>
    <w:rsid w:val="005F29C3"/>
    <w:rsid w:val="00602706"/>
    <w:rsid w:val="00620AFE"/>
    <w:rsid w:val="00623759"/>
    <w:rsid w:val="0062751A"/>
    <w:rsid w:val="00645DDB"/>
    <w:rsid w:val="00657144"/>
    <w:rsid w:val="00696A2C"/>
    <w:rsid w:val="006A72F8"/>
    <w:rsid w:val="006C3A1B"/>
    <w:rsid w:val="00760558"/>
    <w:rsid w:val="00765B8D"/>
    <w:rsid w:val="007A5AF1"/>
    <w:rsid w:val="0082432C"/>
    <w:rsid w:val="00886B3C"/>
    <w:rsid w:val="008A1621"/>
    <w:rsid w:val="008B7DBB"/>
    <w:rsid w:val="008D1156"/>
    <w:rsid w:val="008D79F0"/>
    <w:rsid w:val="008F627E"/>
    <w:rsid w:val="00955C52"/>
    <w:rsid w:val="009716E2"/>
    <w:rsid w:val="009838A7"/>
    <w:rsid w:val="00986DB7"/>
    <w:rsid w:val="009904A2"/>
    <w:rsid w:val="00995133"/>
    <w:rsid w:val="009D0BAE"/>
    <w:rsid w:val="009D39E7"/>
    <w:rsid w:val="009D58A1"/>
    <w:rsid w:val="00A02DF9"/>
    <w:rsid w:val="00A5792B"/>
    <w:rsid w:val="00A8336A"/>
    <w:rsid w:val="00AD66E3"/>
    <w:rsid w:val="00AE1E71"/>
    <w:rsid w:val="00AF4D29"/>
    <w:rsid w:val="00B12FD3"/>
    <w:rsid w:val="00B3134C"/>
    <w:rsid w:val="00BC5E9A"/>
    <w:rsid w:val="00BF0056"/>
    <w:rsid w:val="00C508DD"/>
    <w:rsid w:val="00C605F4"/>
    <w:rsid w:val="00C964FB"/>
    <w:rsid w:val="00CA1E2A"/>
    <w:rsid w:val="00CC297E"/>
    <w:rsid w:val="00CD006A"/>
    <w:rsid w:val="00CE5A47"/>
    <w:rsid w:val="00CF3EC0"/>
    <w:rsid w:val="00D4154F"/>
    <w:rsid w:val="00DA54AB"/>
    <w:rsid w:val="00DE63F3"/>
    <w:rsid w:val="00DF52E1"/>
    <w:rsid w:val="00E43BC9"/>
    <w:rsid w:val="00E76D31"/>
    <w:rsid w:val="00EB707A"/>
    <w:rsid w:val="00EF239B"/>
    <w:rsid w:val="00F362F1"/>
    <w:rsid w:val="00FF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F2A9"/>
  <w15:chartTrackingRefBased/>
  <w15:docId w15:val="{BDBE484F-496D-47E8-829C-2443F188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68A"/>
    <w:rPr>
      <w:rFonts w:eastAsiaTheme="majorEastAsia" w:cstheme="majorBidi"/>
      <w:color w:val="272727" w:themeColor="text1" w:themeTint="D8"/>
    </w:rPr>
  </w:style>
  <w:style w:type="paragraph" w:styleId="Title">
    <w:name w:val="Title"/>
    <w:basedOn w:val="Normal"/>
    <w:next w:val="Normal"/>
    <w:link w:val="TitleChar"/>
    <w:uiPriority w:val="10"/>
    <w:qFormat/>
    <w:rsid w:val="000B2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68A"/>
    <w:pPr>
      <w:spacing w:before="160"/>
      <w:jc w:val="center"/>
    </w:pPr>
    <w:rPr>
      <w:i/>
      <w:iCs/>
      <w:color w:val="404040" w:themeColor="text1" w:themeTint="BF"/>
    </w:rPr>
  </w:style>
  <w:style w:type="character" w:customStyle="1" w:styleId="QuoteChar">
    <w:name w:val="Quote Char"/>
    <w:basedOn w:val="DefaultParagraphFont"/>
    <w:link w:val="Quote"/>
    <w:uiPriority w:val="29"/>
    <w:rsid w:val="000B268A"/>
    <w:rPr>
      <w:i/>
      <w:iCs/>
      <w:color w:val="404040" w:themeColor="text1" w:themeTint="BF"/>
    </w:rPr>
  </w:style>
  <w:style w:type="paragraph" w:styleId="ListParagraph">
    <w:name w:val="List Paragraph"/>
    <w:basedOn w:val="Normal"/>
    <w:uiPriority w:val="34"/>
    <w:qFormat/>
    <w:rsid w:val="000B268A"/>
    <w:pPr>
      <w:ind w:left="720"/>
      <w:contextualSpacing/>
    </w:pPr>
  </w:style>
  <w:style w:type="character" w:styleId="IntenseEmphasis">
    <w:name w:val="Intense Emphasis"/>
    <w:basedOn w:val="DefaultParagraphFont"/>
    <w:uiPriority w:val="21"/>
    <w:qFormat/>
    <w:rsid w:val="000B268A"/>
    <w:rPr>
      <w:i/>
      <w:iCs/>
      <w:color w:val="0F4761" w:themeColor="accent1" w:themeShade="BF"/>
    </w:rPr>
  </w:style>
  <w:style w:type="paragraph" w:styleId="IntenseQuote">
    <w:name w:val="Intense Quote"/>
    <w:basedOn w:val="Normal"/>
    <w:next w:val="Normal"/>
    <w:link w:val="IntenseQuoteChar"/>
    <w:uiPriority w:val="30"/>
    <w:qFormat/>
    <w:rsid w:val="000B2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68A"/>
    <w:rPr>
      <w:i/>
      <w:iCs/>
      <w:color w:val="0F4761" w:themeColor="accent1" w:themeShade="BF"/>
    </w:rPr>
  </w:style>
  <w:style w:type="character" w:styleId="IntenseReference">
    <w:name w:val="Intense Reference"/>
    <w:basedOn w:val="DefaultParagraphFont"/>
    <w:uiPriority w:val="32"/>
    <w:qFormat/>
    <w:rsid w:val="000B268A"/>
    <w:rPr>
      <w:b/>
      <w:bCs/>
      <w:smallCaps/>
      <w:color w:val="0F4761" w:themeColor="accent1" w:themeShade="BF"/>
      <w:spacing w:val="5"/>
    </w:rPr>
  </w:style>
  <w:style w:type="paragraph" w:styleId="NoSpacing">
    <w:name w:val="No Spacing"/>
    <w:uiPriority w:val="1"/>
    <w:qFormat/>
    <w:rsid w:val="00C508DD"/>
    <w:pPr>
      <w:spacing w:after="0" w:line="240" w:lineRule="auto"/>
    </w:pPr>
  </w:style>
  <w:style w:type="character" w:styleId="Hyperlink">
    <w:name w:val="Hyperlink"/>
    <w:basedOn w:val="DefaultParagraphFont"/>
    <w:uiPriority w:val="99"/>
    <w:unhideWhenUsed/>
    <w:rsid w:val="00623759"/>
    <w:rPr>
      <w:color w:val="467886" w:themeColor="hyperlink"/>
      <w:u w:val="single"/>
    </w:rPr>
  </w:style>
  <w:style w:type="character" w:styleId="UnresolvedMention">
    <w:name w:val="Unresolved Mention"/>
    <w:basedOn w:val="DefaultParagraphFont"/>
    <w:uiPriority w:val="99"/>
    <w:semiHidden/>
    <w:unhideWhenUsed/>
    <w:rsid w:val="00623759"/>
    <w:rPr>
      <w:color w:val="605E5C"/>
      <w:shd w:val="clear" w:color="auto" w:fill="E1DFDD"/>
    </w:rPr>
  </w:style>
  <w:style w:type="paragraph" w:styleId="NormalWeb">
    <w:name w:val="Normal (Web)"/>
    <w:basedOn w:val="Normal"/>
    <w:uiPriority w:val="99"/>
    <w:semiHidden/>
    <w:unhideWhenUsed/>
    <w:rsid w:val="00DF52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preston</dc:creator>
  <cp:keywords/>
  <dc:description/>
  <cp:lastModifiedBy>David Catterall</cp:lastModifiedBy>
  <cp:revision>15</cp:revision>
  <dcterms:created xsi:type="dcterms:W3CDTF">2026-07-15T12:07:00Z</dcterms:created>
  <dcterms:modified xsi:type="dcterms:W3CDTF">2026-07-15T12:21:00Z</dcterms:modified>
</cp:coreProperties>
</file>